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016" w:rsidRPr="00D84FA4" w:rsidRDefault="00D84FA4" w:rsidP="00D84FA4">
      <w:pPr>
        <w:jc w:val="center"/>
        <w:rPr>
          <w:rFonts w:ascii="Times New Roman" w:hAnsi="Times New Roman" w:cs="Times New Roman"/>
          <w:b/>
          <w:lang w:val="sr-Cyrl-RS"/>
        </w:rPr>
      </w:pPr>
      <w:r w:rsidRPr="00D84FA4">
        <w:rPr>
          <w:rFonts w:ascii="Times New Roman" w:hAnsi="Times New Roman" w:cs="Times New Roman"/>
          <w:b/>
          <w:lang w:val="sr-Cyrl-RS"/>
        </w:rPr>
        <w:t>ОБРАЗЛОЖЕЊЕ</w:t>
      </w:r>
    </w:p>
    <w:p w:rsidR="00D84FA4" w:rsidRPr="00D84FA4" w:rsidRDefault="00D84FA4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D84FA4">
        <w:rPr>
          <w:rFonts w:ascii="Times New Roman" w:hAnsi="Times New Roman" w:cs="Times New Roman"/>
          <w:lang w:val="sr-Cyrl-RS"/>
        </w:rPr>
        <w:tab/>
        <w:t>Правни основ за за доношење Одлуке о ребалансу буџета општине Бољевац за 201</w:t>
      </w:r>
      <w:r w:rsidR="00337742">
        <w:rPr>
          <w:rFonts w:ascii="Times New Roman" w:hAnsi="Times New Roman" w:cs="Times New Roman"/>
          <w:lang w:val="sr-Cyrl-RS"/>
        </w:rPr>
        <w:t>7</w:t>
      </w:r>
      <w:r w:rsidRPr="00D84FA4">
        <w:rPr>
          <w:rFonts w:ascii="Times New Roman" w:hAnsi="Times New Roman" w:cs="Times New Roman"/>
          <w:lang w:val="sr-Cyrl-RS"/>
        </w:rPr>
        <w:t xml:space="preserve">. </w:t>
      </w:r>
      <w:r>
        <w:rPr>
          <w:rFonts w:ascii="Times New Roman" w:hAnsi="Times New Roman" w:cs="Times New Roman"/>
          <w:lang w:val="sr-Cyrl-RS"/>
        </w:rPr>
        <w:t>г</w:t>
      </w:r>
      <w:r w:rsidRPr="00D84FA4">
        <w:rPr>
          <w:rFonts w:ascii="Times New Roman" w:hAnsi="Times New Roman" w:cs="Times New Roman"/>
          <w:lang w:val="sr-Cyrl-RS"/>
        </w:rPr>
        <w:t>одину</w:t>
      </w:r>
      <w:r>
        <w:rPr>
          <w:rFonts w:ascii="Times New Roman" w:hAnsi="Times New Roman" w:cs="Times New Roman"/>
          <w:lang w:val="sr-Cyrl-RS"/>
        </w:rPr>
        <w:t xml:space="preserve"> (у даљем тексту: Ребаланс</w:t>
      </w:r>
      <w:r w:rsidR="005046FC">
        <w:rPr>
          <w:rFonts w:ascii="Times New Roman" w:hAnsi="Times New Roman" w:cs="Times New Roman"/>
          <w:lang w:val="sr-Cyrl-RS"/>
        </w:rPr>
        <w:t xml:space="preserve"> </w:t>
      </w:r>
      <w:r w:rsidR="00337742">
        <w:rPr>
          <w:rFonts w:ascii="Times New Roman" w:hAnsi="Times New Roman" w:cs="Times New Roman"/>
          <w:lang w:val="sr-Cyrl-RS"/>
        </w:rPr>
        <w:t>1</w:t>
      </w:r>
      <w:r>
        <w:rPr>
          <w:rFonts w:ascii="Times New Roman" w:hAnsi="Times New Roman" w:cs="Times New Roman"/>
          <w:lang w:val="sr-Cyrl-RS"/>
        </w:rPr>
        <w:t>)</w:t>
      </w:r>
      <w:r w:rsidRPr="00D84FA4">
        <w:rPr>
          <w:rFonts w:ascii="Times New Roman" w:hAnsi="Times New Roman" w:cs="Times New Roman"/>
          <w:lang w:val="sr-Cyrl-RS"/>
        </w:rPr>
        <w:t xml:space="preserve"> садржан је у одредбама члана 63. Закона о буџетском систему („Службени гласник РС“, број 54/09, 73/10, 101/10, 101/11, 93/12, 62/13, 63/13 – испр., 108</w:t>
      </w:r>
      <w:r w:rsidR="00337742">
        <w:rPr>
          <w:rFonts w:ascii="Times New Roman" w:hAnsi="Times New Roman" w:cs="Times New Roman"/>
          <w:lang w:val="sr-Cyrl-RS"/>
        </w:rPr>
        <w:t>/13, 142/14, 68/15 – др. закон,</w:t>
      </w:r>
      <w:r w:rsidRPr="00D84FA4">
        <w:rPr>
          <w:rFonts w:ascii="Times New Roman" w:hAnsi="Times New Roman" w:cs="Times New Roman"/>
          <w:lang w:val="sr-Cyrl-RS"/>
        </w:rPr>
        <w:t xml:space="preserve"> 103/15</w:t>
      </w:r>
      <w:r w:rsidR="00337742">
        <w:rPr>
          <w:rFonts w:ascii="Times New Roman" w:hAnsi="Times New Roman" w:cs="Times New Roman"/>
          <w:lang w:val="sr-Cyrl-RS"/>
        </w:rPr>
        <w:t xml:space="preserve"> и 99/16</w:t>
      </w:r>
      <w:r w:rsidRPr="00D84FA4">
        <w:rPr>
          <w:rFonts w:ascii="Times New Roman" w:hAnsi="Times New Roman" w:cs="Times New Roman"/>
          <w:lang w:val="sr-Cyrl-RS"/>
        </w:rPr>
        <w:t>), којима је прописано да одлуку о буџету локалне власти доноси скупштина локалне власти, где се врши усклађивање прихода и примања и расхода и издатака буџета на нижем, вишем или истом нивоу.</w:t>
      </w:r>
    </w:p>
    <w:p w:rsidR="00D84FA4" w:rsidRDefault="00D84FA4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D84FA4"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>Као подлога за израду Нацрта Ребаланса послужили су Захтеви директних и индиректних корисника буџетских средстава за 201</w:t>
      </w:r>
      <w:r w:rsidR="00337742">
        <w:rPr>
          <w:rFonts w:ascii="Times New Roman" w:hAnsi="Times New Roman" w:cs="Times New Roman"/>
          <w:lang w:val="sr-Cyrl-RS"/>
        </w:rPr>
        <w:t>7</w:t>
      </w:r>
      <w:r>
        <w:rPr>
          <w:rFonts w:ascii="Times New Roman" w:hAnsi="Times New Roman" w:cs="Times New Roman"/>
          <w:lang w:val="sr-Cyrl-RS"/>
        </w:rPr>
        <w:t>. годину</w:t>
      </w:r>
      <w:r w:rsidR="00337742">
        <w:rPr>
          <w:rFonts w:ascii="Times New Roman" w:hAnsi="Times New Roman" w:cs="Times New Roman"/>
          <w:lang w:val="sr-Cyrl-RS"/>
        </w:rPr>
        <w:t xml:space="preserve"> и анализа извршења прихода и примања, те расхода и издатака корисника Буџета општине Бољевац у периоду 01.01.-30.04.2017. године.</w:t>
      </w:r>
    </w:p>
    <w:p w:rsidR="00D84FA4" w:rsidRDefault="00D84FA4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 xml:space="preserve">У односу на </w:t>
      </w:r>
      <w:r w:rsidR="00337742">
        <w:rPr>
          <w:rFonts w:ascii="Times New Roman" w:hAnsi="Times New Roman" w:cs="Times New Roman"/>
          <w:lang w:val="sr-Cyrl-RS"/>
        </w:rPr>
        <w:t>Одлуку</w:t>
      </w:r>
      <w:r w:rsidR="0024612F">
        <w:rPr>
          <w:rFonts w:ascii="Times New Roman" w:hAnsi="Times New Roman" w:cs="Times New Roman"/>
          <w:lang w:val="sr-Cyrl-RS"/>
        </w:rPr>
        <w:t xml:space="preserve"> о буџету општине Бољевац за 201</w:t>
      </w:r>
      <w:r w:rsidR="00337742">
        <w:rPr>
          <w:rFonts w:ascii="Times New Roman" w:hAnsi="Times New Roman" w:cs="Times New Roman"/>
          <w:lang w:val="sr-Cyrl-RS"/>
        </w:rPr>
        <w:t>7</w:t>
      </w:r>
      <w:r w:rsidR="0024612F">
        <w:rPr>
          <w:rFonts w:ascii="Times New Roman" w:hAnsi="Times New Roman" w:cs="Times New Roman"/>
          <w:lang w:val="sr-Cyrl-RS"/>
        </w:rPr>
        <w:t>. годину</w:t>
      </w:r>
      <w:r>
        <w:rPr>
          <w:rFonts w:ascii="Times New Roman" w:hAnsi="Times New Roman" w:cs="Times New Roman"/>
          <w:lang w:val="sr-Cyrl-RS"/>
        </w:rPr>
        <w:t>, Ребалансом</w:t>
      </w:r>
      <w:r w:rsidR="0024612F">
        <w:rPr>
          <w:rFonts w:ascii="Times New Roman" w:hAnsi="Times New Roman" w:cs="Times New Roman"/>
          <w:lang w:val="sr-Cyrl-RS"/>
        </w:rPr>
        <w:t xml:space="preserve"> </w:t>
      </w:r>
      <w:r w:rsidR="00337742">
        <w:rPr>
          <w:rFonts w:ascii="Times New Roman" w:hAnsi="Times New Roman" w:cs="Times New Roman"/>
          <w:lang w:val="sr-Cyrl-RS"/>
        </w:rPr>
        <w:t>1</w:t>
      </w:r>
      <w:r>
        <w:rPr>
          <w:rFonts w:ascii="Times New Roman" w:hAnsi="Times New Roman" w:cs="Times New Roman"/>
          <w:lang w:val="sr-Cyrl-RS"/>
        </w:rPr>
        <w:t xml:space="preserve"> је буџет повећан за </w:t>
      </w:r>
      <w:r w:rsidR="00337742">
        <w:rPr>
          <w:rFonts w:ascii="Times New Roman" w:hAnsi="Times New Roman" w:cs="Times New Roman"/>
          <w:lang w:val="sr-Cyrl-RS"/>
        </w:rPr>
        <w:t>9,86</w:t>
      </w:r>
      <w:r>
        <w:rPr>
          <w:rFonts w:ascii="Times New Roman" w:hAnsi="Times New Roman" w:cs="Times New Roman"/>
          <w:lang w:val="sr-Cyrl-RS"/>
        </w:rPr>
        <w:t>%.</w:t>
      </w:r>
    </w:p>
    <w:p w:rsidR="00D84FA4" w:rsidRDefault="00D84FA4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>Чланом 1. Ребаланса, укупан буџетски д</w:t>
      </w:r>
      <w:r w:rsidR="00314A97">
        <w:rPr>
          <w:rFonts w:ascii="Times New Roman" w:hAnsi="Times New Roman" w:cs="Times New Roman"/>
          <w:lang w:val="sr-Cyrl-RS"/>
        </w:rPr>
        <w:t xml:space="preserve">ефицит исказан је у износу од </w:t>
      </w:r>
      <w:r w:rsidR="00337742">
        <w:rPr>
          <w:rFonts w:ascii="Times New Roman" w:hAnsi="Times New Roman" w:cs="Times New Roman"/>
          <w:lang w:val="sr-Cyrl-RS"/>
        </w:rPr>
        <w:t>4.550</w:t>
      </w:r>
      <w:r w:rsidR="0024612F">
        <w:rPr>
          <w:rFonts w:ascii="Times New Roman" w:hAnsi="Times New Roman" w:cs="Times New Roman"/>
          <w:lang w:val="sr-Cyrl-RS"/>
        </w:rPr>
        <w:t>.000</w:t>
      </w:r>
      <w:r>
        <w:rPr>
          <w:rFonts w:ascii="Times New Roman" w:hAnsi="Times New Roman" w:cs="Times New Roman"/>
          <w:lang w:val="sr-Cyrl-RS"/>
        </w:rPr>
        <w:t xml:space="preserve"> динара. Чланом 3. Ребаланса </w:t>
      </w:r>
      <w:r w:rsidR="0017128D">
        <w:rPr>
          <w:rFonts w:ascii="Times New Roman" w:hAnsi="Times New Roman" w:cs="Times New Roman"/>
          <w:lang w:val="sr-Cyrl-RS"/>
        </w:rPr>
        <w:t>дата је расподела дефицита.</w:t>
      </w:r>
    </w:p>
    <w:p w:rsidR="0017128D" w:rsidRDefault="0017128D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17128D" w:rsidRDefault="0017128D" w:rsidP="00D84FA4">
      <w:pPr>
        <w:pStyle w:val="NoSpacing"/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>Буџетски приходи и примања</w:t>
      </w:r>
    </w:p>
    <w:p w:rsidR="0017128D" w:rsidRDefault="0017128D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>Укупни приходи и примања са неутрошеним средствима из претходних година у Ребалансу</w:t>
      </w:r>
      <w:r w:rsidR="004B0724">
        <w:rPr>
          <w:rFonts w:ascii="Times New Roman" w:hAnsi="Times New Roman" w:cs="Times New Roman"/>
          <w:lang w:val="sr-Cyrl-RS"/>
        </w:rPr>
        <w:t xml:space="preserve"> </w:t>
      </w:r>
      <w:r w:rsidR="00337742">
        <w:rPr>
          <w:rFonts w:ascii="Times New Roman" w:hAnsi="Times New Roman" w:cs="Times New Roman"/>
          <w:lang w:val="sr-Cyrl-RS"/>
        </w:rPr>
        <w:t>1</w:t>
      </w:r>
      <w:r>
        <w:rPr>
          <w:rFonts w:ascii="Times New Roman" w:hAnsi="Times New Roman" w:cs="Times New Roman"/>
          <w:lang w:val="sr-Cyrl-RS"/>
        </w:rPr>
        <w:t xml:space="preserve"> су утврђени у износу од </w:t>
      </w:r>
      <w:r w:rsidR="00337742">
        <w:rPr>
          <w:rFonts w:ascii="Times New Roman" w:hAnsi="Times New Roman" w:cs="Times New Roman"/>
          <w:lang w:val="sr-Cyrl-RS"/>
        </w:rPr>
        <w:t>553.360.222</w:t>
      </w:r>
      <w:r>
        <w:rPr>
          <w:rFonts w:ascii="Times New Roman" w:hAnsi="Times New Roman" w:cs="Times New Roman"/>
          <w:lang w:val="sr-Cyrl-RS"/>
        </w:rPr>
        <w:t xml:space="preserve"> динара, што у односу на </w:t>
      </w:r>
      <w:r w:rsidR="0024612F">
        <w:rPr>
          <w:rFonts w:ascii="Times New Roman" w:hAnsi="Times New Roman" w:cs="Times New Roman"/>
          <w:lang w:val="sr-Cyrl-RS"/>
        </w:rPr>
        <w:t>Одлук</w:t>
      </w:r>
      <w:r w:rsidR="00337742">
        <w:rPr>
          <w:rFonts w:ascii="Times New Roman" w:hAnsi="Times New Roman" w:cs="Times New Roman"/>
          <w:lang w:val="sr-Cyrl-RS"/>
        </w:rPr>
        <w:t>у</w:t>
      </w:r>
      <w:r w:rsidR="0024612F">
        <w:rPr>
          <w:rFonts w:ascii="Times New Roman" w:hAnsi="Times New Roman" w:cs="Times New Roman"/>
          <w:lang w:val="sr-Cyrl-RS"/>
        </w:rPr>
        <w:t xml:space="preserve"> о буџету општине Бољевац за 201</w:t>
      </w:r>
      <w:r w:rsidR="00337742">
        <w:rPr>
          <w:rFonts w:ascii="Times New Roman" w:hAnsi="Times New Roman" w:cs="Times New Roman"/>
          <w:lang w:val="sr-Cyrl-RS"/>
        </w:rPr>
        <w:t>7</w:t>
      </w:r>
      <w:r w:rsidR="0024612F">
        <w:rPr>
          <w:rFonts w:ascii="Times New Roman" w:hAnsi="Times New Roman" w:cs="Times New Roman"/>
          <w:lang w:val="sr-Cyrl-RS"/>
        </w:rPr>
        <w:t>. годину</w:t>
      </w:r>
      <w:r>
        <w:rPr>
          <w:rFonts w:ascii="Times New Roman" w:hAnsi="Times New Roman" w:cs="Times New Roman"/>
          <w:lang w:val="sr-Cyrl-RS"/>
        </w:rPr>
        <w:t xml:space="preserve"> чини повећање за </w:t>
      </w:r>
      <w:r w:rsidR="00337742">
        <w:rPr>
          <w:rFonts w:ascii="Times New Roman" w:hAnsi="Times New Roman" w:cs="Times New Roman"/>
          <w:lang w:val="sr-Cyrl-RS"/>
        </w:rPr>
        <w:t>49.709.550</w:t>
      </w:r>
      <w:r>
        <w:rPr>
          <w:rFonts w:ascii="Times New Roman" w:hAnsi="Times New Roman" w:cs="Times New Roman"/>
          <w:lang w:val="sr-Cyrl-RS"/>
        </w:rPr>
        <w:t xml:space="preserve"> динара.</w:t>
      </w:r>
    </w:p>
    <w:p w:rsidR="0017128D" w:rsidRDefault="0017128D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>Што се тиче прихода и примања, у наредној табели је дат приказ смањења односно повећања прихода и примања у Ребалансу у односу на Одлуку о буџ</w:t>
      </w:r>
      <w:r w:rsidR="002050E1">
        <w:rPr>
          <w:rFonts w:ascii="Times New Roman" w:hAnsi="Times New Roman" w:cs="Times New Roman"/>
          <w:lang w:val="sr-Cyrl-RS"/>
        </w:rPr>
        <w:t>ету по економској класификацији:</w:t>
      </w:r>
    </w:p>
    <w:p w:rsidR="00DA4C53" w:rsidRDefault="00DA4C53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tbl>
      <w:tblPr>
        <w:tblW w:w="10120" w:type="dxa"/>
        <w:jc w:val="center"/>
        <w:tblInd w:w="93" w:type="dxa"/>
        <w:tblLook w:val="04A0" w:firstRow="1" w:lastRow="0" w:firstColumn="1" w:lastColumn="0" w:noHBand="0" w:noVBand="1"/>
      </w:tblPr>
      <w:tblGrid>
        <w:gridCol w:w="2020"/>
        <w:gridCol w:w="4940"/>
        <w:gridCol w:w="1060"/>
        <w:gridCol w:w="1060"/>
        <w:gridCol w:w="1040"/>
      </w:tblGrid>
      <w:tr w:rsidR="00FB5A37" w:rsidRPr="00FB5A37" w:rsidTr="00FB5A37">
        <w:trPr>
          <w:trHeight w:val="315"/>
          <w:jc w:val="center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Економска</w:t>
            </w:r>
            <w:proofErr w:type="spellEnd"/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класификација</w:t>
            </w:r>
            <w:proofErr w:type="spellEnd"/>
          </w:p>
        </w:tc>
        <w:tc>
          <w:tcPr>
            <w:tcW w:w="4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Опис</w:t>
            </w:r>
            <w:proofErr w:type="spellEnd"/>
          </w:p>
        </w:tc>
        <w:tc>
          <w:tcPr>
            <w:tcW w:w="31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 xml:space="preserve">БУЏЕТ 2017. </w:t>
            </w:r>
            <w:proofErr w:type="spellStart"/>
            <w:proofErr w:type="gramStart"/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год</w:t>
            </w:r>
            <w:proofErr w:type="spellEnd"/>
            <w:proofErr w:type="gramEnd"/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.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4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Буџет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Ребаланс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Разлика</w:t>
            </w:r>
            <w:proofErr w:type="spellEnd"/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Порез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на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доходак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и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капиталне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добитке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које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плаћају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физичка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лица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91.670.000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97.721.500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6.051.500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713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Порез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на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имовину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36.970.000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36.800.000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-170.000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714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Порез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на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добара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и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услуге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8.020.000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7.770.000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-250.000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716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Други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порези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које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које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искључиво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плаћају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предузећа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6.350.000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6.350.000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732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Текуће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донације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од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међународних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организација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у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корист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нивоа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општина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60.744.200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60.744.200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733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Трансфери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од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других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нивоа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власти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230.197.552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256.775.218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26.577.666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741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Приходи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од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имовине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4.430.000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3.880.000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-550.000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742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Приходи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од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продаје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добара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и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услуга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9.002.000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8.675.000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-327.000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743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Новчане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казне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и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одузета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имовинска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корист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2.500.000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2.630.000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130.000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744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Добровољни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трансфери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од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физичких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и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правних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лица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760.000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449.800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-310.200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745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Мешовити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и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неодређени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приходи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1.050.000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1.720.000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670.000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772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Меморандумске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ставке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за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рефундацију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расхода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420.000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320.000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-100.000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811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Примања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од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продаје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непокретности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42.467.207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41.500.000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-967.207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841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Примања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од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продаје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земљишта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7.804.713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7.652.809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-151.904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911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Примања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од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домаћих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задзживања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13.000.000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Утврђивање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резултата</w:t>
            </w:r>
            <w:proofErr w:type="spellEnd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 xml:space="preserve"> </w:t>
            </w:r>
            <w:proofErr w:type="spellStart"/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r-Latn-RS"/>
              </w:rPr>
              <w:t>пословања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1.265.000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7.371.695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6.106.695</w:t>
            </w:r>
          </w:p>
        </w:tc>
      </w:tr>
      <w:tr w:rsidR="00FB5A37" w:rsidRPr="00FB5A37" w:rsidTr="00FB5A37">
        <w:trPr>
          <w:trHeight w:val="315"/>
          <w:jc w:val="center"/>
        </w:trPr>
        <w:tc>
          <w:tcPr>
            <w:tcW w:w="6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r-Latn-RS"/>
              </w:rPr>
              <w:t>УКУПНО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503.650.672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val="sr-Latn-RS" w:eastAsia="sr-Latn-RS"/>
              </w:rPr>
              <w:t>553.360.222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5A37" w:rsidRPr="00FB5A37" w:rsidRDefault="00FB5A37" w:rsidP="00FB5A3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</w:pPr>
            <w:r w:rsidRPr="00FB5A37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val="sr-Latn-RS" w:eastAsia="sr-Latn-RS"/>
              </w:rPr>
              <w:t>49.709.550</w:t>
            </w:r>
          </w:p>
        </w:tc>
      </w:tr>
    </w:tbl>
    <w:p w:rsidR="00DA4C53" w:rsidRDefault="00DA4C53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CF6FFB" w:rsidRDefault="00CF6FFB" w:rsidP="00D84FA4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>Планирани приходи Ребалансом</w:t>
      </w:r>
      <w:r w:rsidR="00DA4C53">
        <w:rPr>
          <w:rFonts w:ascii="Times New Roman" w:hAnsi="Times New Roman" w:cs="Times New Roman"/>
          <w:lang w:val="sr-Cyrl-RS"/>
        </w:rPr>
        <w:t xml:space="preserve"> </w:t>
      </w:r>
      <w:r w:rsidR="00FB5A37">
        <w:rPr>
          <w:rFonts w:ascii="Times New Roman" w:hAnsi="Times New Roman" w:cs="Times New Roman"/>
          <w:lang w:val="sr-Cyrl-RS"/>
        </w:rPr>
        <w:t>1</w:t>
      </w:r>
      <w:r>
        <w:rPr>
          <w:rFonts w:ascii="Times New Roman" w:hAnsi="Times New Roman" w:cs="Times New Roman"/>
          <w:lang w:val="sr-Cyrl-RS"/>
        </w:rPr>
        <w:t xml:space="preserve"> чине:</w:t>
      </w:r>
    </w:p>
    <w:p w:rsidR="00CF6FFB" w:rsidRDefault="00CF6FFB" w:rsidP="00CF6FF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u w:val="single"/>
          <w:lang w:val="sr-Cyrl-RS"/>
        </w:rPr>
        <w:t>Порески приходи</w:t>
      </w:r>
      <w:r>
        <w:rPr>
          <w:rFonts w:ascii="Times New Roman" w:hAnsi="Times New Roman" w:cs="Times New Roman"/>
          <w:lang w:val="sr-Cyrl-RS"/>
        </w:rPr>
        <w:t xml:space="preserve"> (збир конта 711, 713, 714 и 716) у укупном износу</w:t>
      </w:r>
      <w:r w:rsidR="00D458C5">
        <w:rPr>
          <w:rFonts w:ascii="Times New Roman" w:hAnsi="Times New Roman" w:cs="Times New Roman"/>
          <w:lang w:val="sr-Cyrl-RS"/>
        </w:rPr>
        <w:t xml:space="preserve"> од </w:t>
      </w:r>
      <w:r w:rsidR="00FB5A37">
        <w:rPr>
          <w:rFonts w:ascii="Times New Roman" w:hAnsi="Times New Roman" w:cs="Times New Roman"/>
          <w:lang w:val="sr-Cyrl-RS"/>
        </w:rPr>
        <w:t>148.641.500</w:t>
      </w:r>
      <w:r w:rsidR="00D458C5">
        <w:rPr>
          <w:rFonts w:ascii="Times New Roman" w:hAnsi="Times New Roman" w:cs="Times New Roman"/>
          <w:lang w:val="sr-Cyrl-RS"/>
        </w:rPr>
        <w:t xml:space="preserve"> динара, односно </w:t>
      </w:r>
      <w:r w:rsidR="00FB5A37">
        <w:rPr>
          <w:rFonts w:ascii="Times New Roman" w:hAnsi="Times New Roman" w:cs="Times New Roman"/>
          <w:lang w:val="sr-Cyrl-RS"/>
        </w:rPr>
        <w:t>26,86</w:t>
      </w:r>
      <w:r w:rsidR="00D458C5">
        <w:rPr>
          <w:rFonts w:ascii="Times New Roman" w:hAnsi="Times New Roman" w:cs="Times New Roman"/>
          <w:lang w:val="sr-Cyrl-RS"/>
        </w:rPr>
        <w:t>% од укупног буџета,</w:t>
      </w:r>
      <w:r w:rsidR="008045F9">
        <w:rPr>
          <w:rFonts w:ascii="Times New Roman" w:hAnsi="Times New Roman" w:cs="Times New Roman"/>
          <w:lang w:val="sr-Cyrl-RS"/>
        </w:rPr>
        <w:t xml:space="preserve"> што чини увећање од 5.631.500 динара у односу на Одлуку о буџету, а што је оправдано имајући у виду извршење прихода на групи конта 71 које је изнад планираних у прва четири месеца 2017. године.</w:t>
      </w:r>
    </w:p>
    <w:p w:rsidR="00D458C5" w:rsidRDefault="00D458C5" w:rsidP="00CF6FF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u w:val="single"/>
          <w:lang w:val="sr-Cyrl-RS"/>
        </w:rPr>
        <w:t>Непорески приходи</w:t>
      </w:r>
      <w:r>
        <w:rPr>
          <w:rFonts w:ascii="Times New Roman" w:hAnsi="Times New Roman" w:cs="Times New Roman"/>
          <w:lang w:val="sr-Cyrl-RS"/>
        </w:rPr>
        <w:t xml:space="preserve"> (збир конта 74 и 77) у укупном износу од </w:t>
      </w:r>
      <w:r w:rsidR="008045F9">
        <w:rPr>
          <w:rFonts w:ascii="Times New Roman" w:hAnsi="Times New Roman" w:cs="Times New Roman"/>
          <w:lang w:val="sr-Cyrl-RS"/>
        </w:rPr>
        <w:t>17.674.800</w:t>
      </w:r>
      <w:r>
        <w:rPr>
          <w:rFonts w:ascii="Times New Roman" w:hAnsi="Times New Roman" w:cs="Times New Roman"/>
          <w:lang w:val="sr-Cyrl-RS"/>
        </w:rPr>
        <w:t xml:space="preserve"> динара, односно </w:t>
      </w:r>
      <w:r w:rsidR="008045F9">
        <w:rPr>
          <w:rFonts w:ascii="Times New Roman" w:hAnsi="Times New Roman" w:cs="Times New Roman"/>
          <w:lang w:val="sr-Cyrl-RS"/>
        </w:rPr>
        <w:t>3,20</w:t>
      </w:r>
      <w:r>
        <w:rPr>
          <w:rFonts w:ascii="Times New Roman" w:hAnsi="Times New Roman" w:cs="Times New Roman"/>
          <w:lang w:val="sr-Cyrl-RS"/>
        </w:rPr>
        <w:t>% од укупног буџета,</w:t>
      </w:r>
      <w:r w:rsidR="008045F9">
        <w:rPr>
          <w:rFonts w:ascii="Times New Roman" w:hAnsi="Times New Roman" w:cs="Times New Roman"/>
          <w:lang w:val="sr-Cyrl-RS"/>
        </w:rPr>
        <w:t xml:space="preserve"> што чини умањење од 487.200 динара у односу на Одлуку о буџету.</w:t>
      </w:r>
    </w:p>
    <w:p w:rsidR="00D458C5" w:rsidRDefault="00D458C5" w:rsidP="00CF6FF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u w:val="single"/>
          <w:lang w:val="sr-Cyrl-RS"/>
        </w:rPr>
        <w:lastRenderedPageBreak/>
        <w:t>Донације</w:t>
      </w:r>
      <w:r>
        <w:rPr>
          <w:rFonts w:ascii="Times New Roman" w:hAnsi="Times New Roman" w:cs="Times New Roman"/>
          <w:lang w:val="sr-Cyrl-RS"/>
        </w:rPr>
        <w:t xml:space="preserve"> (конто 732) у укупном износу од </w:t>
      </w:r>
      <w:r w:rsidR="008045F9">
        <w:rPr>
          <w:rFonts w:ascii="Times New Roman" w:hAnsi="Times New Roman" w:cs="Times New Roman"/>
          <w:lang w:val="sr-Cyrl-RS"/>
        </w:rPr>
        <w:t>60.744.200</w:t>
      </w:r>
      <w:r>
        <w:rPr>
          <w:rFonts w:ascii="Times New Roman" w:hAnsi="Times New Roman" w:cs="Times New Roman"/>
          <w:lang w:val="sr-Cyrl-RS"/>
        </w:rPr>
        <w:t xml:space="preserve"> динара, односно </w:t>
      </w:r>
      <w:r w:rsidR="008045F9">
        <w:rPr>
          <w:rFonts w:ascii="Times New Roman" w:hAnsi="Times New Roman" w:cs="Times New Roman"/>
          <w:lang w:val="sr-Cyrl-RS"/>
        </w:rPr>
        <w:t>10,98</w:t>
      </w:r>
      <w:r>
        <w:rPr>
          <w:rFonts w:ascii="Times New Roman" w:hAnsi="Times New Roman" w:cs="Times New Roman"/>
          <w:lang w:val="sr-Cyrl-RS"/>
        </w:rPr>
        <w:t xml:space="preserve">% укупног буџета, а која су намењена реализацији пројекта </w:t>
      </w:r>
      <w:r w:rsidR="008045F9">
        <w:rPr>
          <w:rFonts w:ascii="Times New Roman" w:hAnsi="Times New Roman" w:cs="Times New Roman"/>
          <w:lang w:val="sr-Cyrl-RS"/>
        </w:rPr>
        <w:t>Шумски ватрогасци</w:t>
      </w:r>
      <w:r w:rsidR="002050E1">
        <w:rPr>
          <w:rFonts w:ascii="Times New Roman" w:hAnsi="Times New Roman" w:cs="Times New Roman"/>
          <w:lang w:val="sr-Cyrl-RS"/>
        </w:rPr>
        <w:t xml:space="preserve"> (</w:t>
      </w:r>
      <w:r w:rsidR="008045F9">
        <w:rPr>
          <w:rFonts w:ascii="Times New Roman" w:hAnsi="Times New Roman" w:cs="Times New Roman"/>
          <w:lang w:val="sr-Cyrl-RS"/>
        </w:rPr>
        <w:t>30.144</w:t>
      </w:r>
      <w:r w:rsidR="002050E1">
        <w:rPr>
          <w:rFonts w:ascii="Times New Roman" w:hAnsi="Times New Roman" w:cs="Times New Roman"/>
          <w:lang w:val="sr-Cyrl-RS"/>
        </w:rPr>
        <w:t>.</w:t>
      </w:r>
      <w:r w:rsidR="008045F9">
        <w:rPr>
          <w:rFonts w:ascii="Times New Roman" w:hAnsi="Times New Roman" w:cs="Times New Roman"/>
          <w:lang w:val="sr-Cyrl-RS"/>
        </w:rPr>
        <w:t>2</w:t>
      </w:r>
      <w:r w:rsidR="002050E1">
        <w:rPr>
          <w:rFonts w:ascii="Times New Roman" w:hAnsi="Times New Roman" w:cs="Times New Roman"/>
          <w:lang w:val="sr-Cyrl-RS"/>
        </w:rPr>
        <w:t>00 динара)</w:t>
      </w:r>
      <w:r w:rsidR="008045F9">
        <w:rPr>
          <w:rFonts w:ascii="Times New Roman" w:hAnsi="Times New Roman" w:cs="Times New Roman"/>
          <w:lang w:val="sr-Cyrl-RS"/>
        </w:rPr>
        <w:t xml:space="preserve">, </w:t>
      </w:r>
      <w:r>
        <w:rPr>
          <w:rFonts w:ascii="Times New Roman" w:hAnsi="Times New Roman" w:cs="Times New Roman"/>
          <w:lang w:val="sr-Cyrl-RS"/>
        </w:rPr>
        <w:t xml:space="preserve">пројекта </w:t>
      </w:r>
      <w:r w:rsidR="008045F9">
        <w:rPr>
          <w:rFonts w:ascii="Times New Roman" w:hAnsi="Times New Roman" w:cs="Times New Roman"/>
          <w:lang w:val="sr-Cyrl-RS"/>
        </w:rPr>
        <w:t>Основа за бољу будућност младих</w:t>
      </w:r>
      <w:r w:rsidR="002050E1">
        <w:rPr>
          <w:rFonts w:ascii="Times New Roman" w:hAnsi="Times New Roman" w:cs="Times New Roman"/>
          <w:lang w:val="sr-Cyrl-RS"/>
        </w:rPr>
        <w:t xml:space="preserve"> (</w:t>
      </w:r>
      <w:r w:rsidR="008045F9">
        <w:rPr>
          <w:rFonts w:ascii="Times New Roman" w:hAnsi="Times New Roman" w:cs="Times New Roman"/>
          <w:lang w:val="sr-Cyrl-RS"/>
        </w:rPr>
        <w:t>29.000.000</w:t>
      </w:r>
      <w:r w:rsidR="002050E1">
        <w:rPr>
          <w:rFonts w:ascii="Times New Roman" w:hAnsi="Times New Roman" w:cs="Times New Roman"/>
          <w:lang w:val="sr-Cyrl-RS"/>
        </w:rPr>
        <w:t xml:space="preserve"> динара</w:t>
      </w:r>
      <w:r w:rsidR="00113AAB">
        <w:rPr>
          <w:rFonts w:ascii="Times New Roman" w:hAnsi="Times New Roman" w:cs="Times New Roman"/>
          <w:lang w:val="sr-Cyrl-RS"/>
        </w:rPr>
        <w:t>)</w:t>
      </w:r>
      <w:r w:rsidR="008045F9">
        <w:rPr>
          <w:rFonts w:ascii="Times New Roman" w:hAnsi="Times New Roman" w:cs="Times New Roman"/>
          <w:lang w:val="sr-Cyrl-RS"/>
        </w:rPr>
        <w:t xml:space="preserve"> и за субвенције за пољопривреду преко донације ФАО (1.600.000 динара).</w:t>
      </w:r>
    </w:p>
    <w:p w:rsidR="00D458C5" w:rsidRDefault="00D458C5" w:rsidP="00CF6FF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u w:val="single"/>
          <w:lang w:val="sr-Cyrl-RS"/>
        </w:rPr>
        <w:t>Трансфери од других нивоа власти</w:t>
      </w:r>
      <w:r>
        <w:rPr>
          <w:rFonts w:ascii="Times New Roman" w:hAnsi="Times New Roman" w:cs="Times New Roman"/>
          <w:lang w:val="sr-Cyrl-RS"/>
        </w:rPr>
        <w:t xml:space="preserve"> (конто 733) у укупном износу од </w:t>
      </w:r>
      <w:r w:rsidR="008045F9">
        <w:rPr>
          <w:rFonts w:ascii="Times New Roman" w:hAnsi="Times New Roman" w:cs="Times New Roman"/>
          <w:lang w:val="sr-Cyrl-RS"/>
        </w:rPr>
        <w:t>256.775.218</w:t>
      </w:r>
      <w:r>
        <w:rPr>
          <w:rFonts w:ascii="Times New Roman" w:hAnsi="Times New Roman" w:cs="Times New Roman"/>
          <w:lang w:val="sr-Cyrl-RS"/>
        </w:rPr>
        <w:t xml:space="preserve"> динара, односно </w:t>
      </w:r>
      <w:r w:rsidR="008045F9">
        <w:rPr>
          <w:rFonts w:ascii="Times New Roman" w:hAnsi="Times New Roman" w:cs="Times New Roman"/>
          <w:lang w:val="sr-Cyrl-RS"/>
        </w:rPr>
        <w:t>46,40</w:t>
      </w:r>
      <w:r>
        <w:rPr>
          <w:rFonts w:ascii="Times New Roman" w:hAnsi="Times New Roman" w:cs="Times New Roman"/>
          <w:lang w:val="sr-Cyrl-RS"/>
        </w:rPr>
        <w:t xml:space="preserve">% укупног буџета, </w:t>
      </w:r>
      <w:r w:rsidR="008045F9">
        <w:rPr>
          <w:rFonts w:ascii="Times New Roman" w:hAnsi="Times New Roman" w:cs="Times New Roman"/>
          <w:lang w:val="sr-Cyrl-RS"/>
        </w:rPr>
        <w:t>што чини увећање од 26.577.666 динара</w:t>
      </w:r>
      <w:r w:rsidR="00792A78">
        <w:rPr>
          <w:rFonts w:ascii="Times New Roman" w:hAnsi="Times New Roman" w:cs="Times New Roman"/>
          <w:lang w:val="sr-Cyrl-RS"/>
        </w:rPr>
        <w:t xml:space="preserve"> у односу на одлуку о буџету</w:t>
      </w:r>
      <w:r w:rsidR="008045F9">
        <w:rPr>
          <w:rFonts w:ascii="Times New Roman" w:hAnsi="Times New Roman" w:cs="Times New Roman"/>
          <w:lang w:val="sr-Cyrl-RS"/>
        </w:rPr>
        <w:t xml:space="preserve">, </w:t>
      </w:r>
      <w:r>
        <w:rPr>
          <w:rFonts w:ascii="Times New Roman" w:hAnsi="Times New Roman" w:cs="Times New Roman"/>
          <w:lang w:val="sr-Cyrl-RS"/>
        </w:rPr>
        <w:t>а која представљају:</w:t>
      </w:r>
    </w:p>
    <w:p w:rsidR="00D458C5" w:rsidRDefault="007B7A8E" w:rsidP="00D458C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Ненаменске</w:t>
      </w:r>
      <w:r w:rsidR="00113AAB">
        <w:rPr>
          <w:rFonts w:ascii="Times New Roman" w:hAnsi="Times New Roman" w:cs="Times New Roman"/>
          <w:lang w:val="sr-Cyrl-RS"/>
        </w:rPr>
        <w:t xml:space="preserve"> трансфере од </w:t>
      </w:r>
      <w:r>
        <w:rPr>
          <w:rFonts w:ascii="Times New Roman" w:hAnsi="Times New Roman" w:cs="Times New Roman"/>
          <w:lang w:val="sr-Cyrl-RS"/>
        </w:rPr>
        <w:t>републике</w:t>
      </w:r>
      <w:r w:rsidR="00D458C5">
        <w:rPr>
          <w:rFonts w:ascii="Times New Roman" w:hAnsi="Times New Roman" w:cs="Times New Roman"/>
          <w:lang w:val="sr-Cyrl-RS"/>
        </w:rPr>
        <w:t xml:space="preserve"> у корист нивоа општина у износу од </w:t>
      </w:r>
      <w:r>
        <w:rPr>
          <w:rFonts w:ascii="Times New Roman" w:hAnsi="Times New Roman" w:cs="Times New Roman"/>
          <w:lang w:val="sr-Cyrl-RS"/>
        </w:rPr>
        <w:t>211.105.552</w:t>
      </w:r>
      <w:r w:rsidR="00D458C5">
        <w:rPr>
          <w:rFonts w:ascii="Times New Roman" w:hAnsi="Times New Roman" w:cs="Times New Roman"/>
          <w:lang w:val="sr-Cyrl-RS"/>
        </w:rPr>
        <w:t xml:space="preserve"> динара,</w:t>
      </w:r>
      <w:r>
        <w:rPr>
          <w:rFonts w:ascii="Times New Roman" w:hAnsi="Times New Roman" w:cs="Times New Roman"/>
          <w:lang w:val="sr-Cyrl-RS"/>
        </w:rPr>
        <w:t xml:space="preserve"> а који се односе на редован годишњи трансфер у износу од 205.775.000 и средства намењена предшколским установама у износу од 5.330.552 динара.</w:t>
      </w:r>
    </w:p>
    <w:p w:rsidR="00792A78" w:rsidRDefault="00D458C5" w:rsidP="00D458C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792A78">
        <w:rPr>
          <w:rFonts w:ascii="Times New Roman" w:hAnsi="Times New Roman" w:cs="Times New Roman"/>
          <w:lang w:val="sr-Cyrl-RS"/>
        </w:rPr>
        <w:t xml:space="preserve">Наменске трансфере од Републике у корист нивоа општина у износу од </w:t>
      </w:r>
      <w:r w:rsidR="007B7A8E" w:rsidRPr="00792A78">
        <w:rPr>
          <w:rFonts w:ascii="Times New Roman" w:hAnsi="Times New Roman" w:cs="Times New Roman"/>
          <w:lang w:val="sr-Cyrl-RS"/>
        </w:rPr>
        <w:t>21.819.361 динара, а који су намењени</w:t>
      </w:r>
      <w:r w:rsidR="00FD1E7F" w:rsidRPr="00792A78">
        <w:rPr>
          <w:rFonts w:ascii="Times New Roman" w:hAnsi="Times New Roman" w:cs="Times New Roman"/>
          <w:lang w:val="sr-Cyrl-RS"/>
        </w:rPr>
        <w:t xml:space="preserve"> реализацији пројекта Црноречје у песми и игри (300.000 динара), реализацији </w:t>
      </w:r>
      <w:r w:rsidR="007B7A8E" w:rsidRPr="00792A78">
        <w:rPr>
          <w:rFonts w:ascii="Times New Roman" w:hAnsi="Times New Roman" w:cs="Times New Roman"/>
          <w:lang w:val="sr-Cyrl-RS"/>
        </w:rPr>
        <w:t>услуга Центра за социјални рад - геронтодомаћице</w:t>
      </w:r>
      <w:r w:rsidR="00FD1E7F" w:rsidRPr="00792A78">
        <w:rPr>
          <w:rFonts w:ascii="Times New Roman" w:hAnsi="Times New Roman" w:cs="Times New Roman"/>
          <w:lang w:val="sr-Cyrl-RS"/>
        </w:rPr>
        <w:t xml:space="preserve"> (</w:t>
      </w:r>
      <w:r w:rsidR="007B7A8E" w:rsidRPr="00792A78">
        <w:rPr>
          <w:rFonts w:ascii="Times New Roman" w:hAnsi="Times New Roman" w:cs="Times New Roman"/>
          <w:lang w:val="sr-Cyrl-RS"/>
        </w:rPr>
        <w:t>3.033.361</w:t>
      </w:r>
      <w:r w:rsidR="00FD1E7F" w:rsidRPr="00792A78">
        <w:rPr>
          <w:rFonts w:ascii="Times New Roman" w:hAnsi="Times New Roman" w:cs="Times New Roman"/>
          <w:lang w:val="sr-Cyrl-RS"/>
        </w:rPr>
        <w:t xml:space="preserve">), </w:t>
      </w:r>
      <w:r w:rsidR="007B7A8E" w:rsidRPr="00792A78">
        <w:rPr>
          <w:rFonts w:ascii="Times New Roman" w:hAnsi="Times New Roman" w:cs="Times New Roman"/>
          <w:lang w:val="sr-Cyrl-RS"/>
        </w:rPr>
        <w:t xml:space="preserve">реализацији пројеката Туристичке организације </w:t>
      </w:r>
      <w:r w:rsidR="00FD1E7F" w:rsidRPr="00792A78">
        <w:rPr>
          <w:rFonts w:ascii="Times New Roman" w:hAnsi="Times New Roman" w:cs="Times New Roman"/>
          <w:lang w:val="sr-Cyrl-RS"/>
        </w:rPr>
        <w:t>(1.</w:t>
      </w:r>
      <w:r w:rsidR="007B7A8E" w:rsidRPr="00792A78">
        <w:rPr>
          <w:rFonts w:ascii="Times New Roman" w:hAnsi="Times New Roman" w:cs="Times New Roman"/>
          <w:lang w:val="sr-Cyrl-RS"/>
        </w:rPr>
        <w:t>336</w:t>
      </w:r>
      <w:r w:rsidR="00FD1E7F" w:rsidRPr="00792A78">
        <w:rPr>
          <w:rFonts w:ascii="Times New Roman" w:hAnsi="Times New Roman" w:cs="Times New Roman"/>
          <w:lang w:val="sr-Cyrl-RS"/>
        </w:rPr>
        <w:t>.000 динара), једнократној помоћи за избеглице</w:t>
      </w:r>
      <w:r w:rsidR="00E65EB1" w:rsidRPr="00792A78">
        <w:rPr>
          <w:rFonts w:ascii="Times New Roman" w:hAnsi="Times New Roman" w:cs="Times New Roman"/>
          <w:lang w:val="sr-Cyrl-RS"/>
        </w:rPr>
        <w:t xml:space="preserve"> </w:t>
      </w:r>
      <w:r w:rsidR="00FD1E7F" w:rsidRPr="00792A78">
        <w:rPr>
          <w:rFonts w:ascii="Times New Roman" w:hAnsi="Times New Roman" w:cs="Times New Roman"/>
          <w:lang w:val="sr-Cyrl-RS"/>
        </w:rPr>
        <w:t>(</w:t>
      </w:r>
      <w:r w:rsidR="007B7A8E" w:rsidRPr="00792A78">
        <w:rPr>
          <w:rFonts w:ascii="Times New Roman" w:hAnsi="Times New Roman" w:cs="Times New Roman"/>
          <w:lang w:val="sr-Cyrl-RS"/>
        </w:rPr>
        <w:t>300</w:t>
      </w:r>
      <w:r w:rsidR="00E65EB1" w:rsidRPr="00792A78">
        <w:rPr>
          <w:rFonts w:ascii="Times New Roman" w:hAnsi="Times New Roman" w:cs="Times New Roman"/>
          <w:lang w:val="sr-Cyrl-RS"/>
        </w:rPr>
        <w:t>.000</w:t>
      </w:r>
      <w:r w:rsidR="00792A78" w:rsidRPr="00792A78">
        <w:rPr>
          <w:rFonts w:ascii="Times New Roman" w:hAnsi="Times New Roman" w:cs="Times New Roman"/>
          <w:lang w:val="sr-Cyrl-RS"/>
        </w:rPr>
        <w:t xml:space="preserve"> динара) и</w:t>
      </w:r>
      <w:r w:rsidR="000D3E79" w:rsidRPr="00792A78">
        <w:rPr>
          <w:rFonts w:ascii="Times New Roman" w:hAnsi="Times New Roman" w:cs="Times New Roman"/>
          <w:lang w:val="sr-Cyrl-RS"/>
        </w:rPr>
        <w:t xml:space="preserve"> </w:t>
      </w:r>
      <w:r w:rsidR="00113AAB" w:rsidRPr="00792A78">
        <w:rPr>
          <w:rFonts w:ascii="Times New Roman" w:hAnsi="Times New Roman" w:cs="Times New Roman"/>
          <w:lang w:val="sr-Cyrl-RS"/>
        </w:rPr>
        <w:t>куповини кућа за избегла и расељ</w:t>
      </w:r>
      <w:r w:rsidR="00FD1E7F" w:rsidRPr="00792A78">
        <w:rPr>
          <w:rFonts w:ascii="Times New Roman" w:hAnsi="Times New Roman" w:cs="Times New Roman"/>
          <w:lang w:val="sr-Cyrl-RS"/>
        </w:rPr>
        <w:t xml:space="preserve">ена лица </w:t>
      </w:r>
      <w:r w:rsidR="008A0F63">
        <w:rPr>
          <w:rFonts w:ascii="Times New Roman" w:hAnsi="Times New Roman" w:cs="Times New Roman"/>
          <w:lang w:val="sr-Latn-RS"/>
        </w:rPr>
        <w:t>(</w:t>
      </w:r>
      <w:r w:rsidR="007B7A8E" w:rsidRPr="00792A78">
        <w:rPr>
          <w:rFonts w:ascii="Times New Roman" w:hAnsi="Times New Roman" w:cs="Times New Roman"/>
          <w:lang w:val="sr-Cyrl-RS"/>
        </w:rPr>
        <w:t>16.850.000</w:t>
      </w:r>
      <w:r w:rsidR="00FD1E7F" w:rsidRPr="00792A78">
        <w:rPr>
          <w:rFonts w:ascii="Times New Roman" w:hAnsi="Times New Roman" w:cs="Times New Roman"/>
          <w:lang w:val="sr-Cyrl-RS"/>
        </w:rPr>
        <w:t xml:space="preserve"> ди</w:t>
      </w:r>
      <w:r w:rsidR="002050E1" w:rsidRPr="00792A78">
        <w:rPr>
          <w:rFonts w:ascii="Times New Roman" w:hAnsi="Times New Roman" w:cs="Times New Roman"/>
          <w:lang w:val="sr-Cyrl-RS"/>
        </w:rPr>
        <w:t>на</w:t>
      </w:r>
      <w:r w:rsidR="00792A78">
        <w:rPr>
          <w:rFonts w:ascii="Times New Roman" w:hAnsi="Times New Roman" w:cs="Times New Roman"/>
          <w:lang w:val="sr-Cyrl-RS"/>
        </w:rPr>
        <w:t>ра).</w:t>
      </w:r>
    </w:p>
    <w:p w:rsidR="00264CB5" w:rsidRPr="00792A78" w:rsidRDefault="00264CB5" w:rsidP="00D458C5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792A78">
        <w:rPr>
          <w:rFonts w:ascii="Times New Roman" w:hAnsi="Times New Roman" w:cs="Times New Roman"/>
          <w:lang w:val="sr-Cyrl-RS"/>
        </w:rPr>
        <w:t xml:space="preserve">Капиталне трансфере од Републике у корист нивоа општина у износу од </w:t>
      </w:r>
      <w:r w:rsidR="00792A78">
        <w:rPr>
          <w:rFonts w:ascii="Times New Roman" w:hAnsi="Times New Roman" w:cs="Times New Roman"/>
          <w:lang w:val="sr-Cyrl-RS"/>
        </w:rPr>
        <w:t>23.850.305</w:t>
      </w:r>
      <w:r w:rsidRPr="00792A78">
        <w:rPr>
          <w:rFonts w:ascii="Times New Roman" w:hAnsi="Times New Roman" w:cs="Times New Roman"/>
          <w:lang w:val="sr-Cyrl-RS"/>
        </w:rPr>
        <w:t xml:space="preserve"> динара, а који су намењени потребама суфинансирања капиталног одржавања пу</w:t>
      </w:r>
      <w:r w:rsidR="00E65EB1" w:rsidRPr="00792A78">
        <w:rPr>
          <w:rFonts w:ascii="Times New Roman" w:hAnsi="Times New Roman" w:cs="Times New Roman"/>
          <w:lang w:val="sr-Cyrl-RS"/>
        </w:rPr>
        <w:t xml:space="preserve">та </w:t>
      </w:r>
      <w:r w:rsidR="00792A78">
        <w:rPr>
          <w:rFonts w:ascii="Times New Roman" w:hAnsi="Times New Roman" w:cs="Times New Roman"/>
          <w:lang w:val="sr-Cyrl-RS"/>
        </w:rPr>
        <w:t>Савинац-Буково</w:t>
      </w:r>
      <w:r w:rsidRPr="00792A78">
        <w:rPr>
          <w:rFonts w:ascii="Times New Roman" w:hAnsi="Times New Roman" w:cs="Times New Roman"/>
          <w:lang w:val="sr-Cyrl-RS"/>
        </w:rPr>
        <w:t xml:space="preserve"> (</w:t>
      </w:r>
      <w:r w:rsidR="00792A78">
        <w:rPr>
          <w:rFonts w:ascii="Times New Roman" w:hAnsi="Times New Roman" w:cs="Times New Roman"/>
          <w:lang w:val="sr-Cyrl-RS"/>
        </w:rPr>
        <w:t>6.000.000</w:t>
      </w:r>
      <w:r w:rsidRPr="00792A78">
        <w:rPr>
          <w:rFonts w:ascii="Times New Roman" w:hAnsi="Times New Roman" w:cs="Times New Roman"/>
          <w:lang w:val="sr-Cyrl-RS"/>
        </w:rPr>
        <w:t xml:space="preserve"> динара), </w:t>
      </w:r>
      <w:r w:rsidR="00792A78">
        <w:rPr>
          <w:rFonts w:ascii="Times New Roman" w:hAnsi="Times New Roman" w:cs="Times New Roman"/>
          <w:lang w:val="sr-Cyrl-RS"/>
        </w:rPr>
        <w:t>изградњи канализације на левој обали Арнауте – Станично брдо</w:t>
      </w:r>
      <w:r w:rsidRPr="00792A78">
        <w:rPr>
          <w:rFonts w:ascii="Times New Roman" w:hAnsi="Times New Roman" w:cs="Times New Roman"/>
          <w:lang w:val="sr-Cyrl-RS"/>
        </w:rPr>
        <w:t xml:space="preserve"> (</w:t>
      </w:r>
      <w:r w:rsidR="00792A78">
        <w:rPr>
          <w:rFonts w:ascii="Times New Roman" w:hAnsi="Times New Roman" w:cs="Times New Roman"/>
          <w:lang w:val="sr-Cyrl-RS"/>
        </w:rPr>
        <w:t xml:space="preserve">4.800.000 динара), </w:t>
      </w:r>
      <w:r w:rsidRPr="00792A78">
        <w:rPr>
          <w:rFonts w:ascii="Times New Roman" w:hAnsi="Times New Roman" w:cs="Times New Roman"/>
          <w:lang w:val="sr-Cyrl-RS"/>
        </w:rPr>
        <w:t>суфинансирању капиталног одржавања зграде Сред</w:t>
      </w:r>
      <w:r w:rsidR="002050E1" w:rsidRPr="00792A78">
        <w:rPr>
          <w:rFonts w:ascii="Times New Roman" w:hAnsi="Times New Roman" w:cs="Times New Roman"/>
          <w:lang w:val="sr-Cyrl-RS"/>
        </w:rPr>
        <w:t>ње школе (</w:t>
      </w:r>
      <w:r w:rsidR="00792A78">
        <w:rPr>
          <w:rFonts w:ascii="Times New Roman" w:hAnsi="Times New Roman" w:cs="Times New Roman"/>
          <w:lang w:val="sr-Cyrl-RS"/>
        </w:rPr>
        <w:t>7.050.305 динара) и наставку изградње спортско-рекреативног центра Змијанац – купалиште (6.000.000 динара).</w:t>
      </w:r>
    </w:p>
    <w:p w:rsidR="00264CB5" w:rsidRDefault="00264CB5" w:rsidP="00264CB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u w:val="single"/>
          <w:lang w:val="sr-Cyrl-RS"/>
        </w:rPr>
        <w:t>Примања од продаје нефинансијске имовине</w:t>
      </w:r>
      <w:r>
        <w:rPr>
          <w:rFonts w:ascii="Times New Roman" w:hAnsi="Times New Roman" w:cs="Times New Roman"/>
          <w:lang w:val="sr-Cyrl-RS"/>
        </w:rPr>
        <w:t xml:space="preserve"> (збир конта 811 и 841) у укупном износу од </w:t>
      </w:r>
      <w:r w:rsidR="00792A78">
        <w:rPr>
          <w:rFonts w:ascii="Times New Roman" w:hAnsi="Times New Roman" w:cs="Times New Roman"/>
          <w:lang w:val="sr-Cyrl-RS"/>
        </w:rPr>
        <w:t>49.152.809</w:t>
      </w:r>
      <w:r>
        <w:rPr>
          <w:rFonts w:ascii="Times New Roman" w:hAnsi="Times New Roman" w:cs="Times New Roman"/>
          <w:lang w:val="sr-Cyrl-RS"/>
        </w:rPr>
        <w:t xml:space="preserve"> динара, односно </w:t>
      </w:r>
      <w:r w:rsidR="00792A78">
        <w:rPr>
          <w:rFonts w:ascii="Times New Roman" w:hAnsi="Times New Roman" w:cs="Times New Roman"/>
          <w:lang w:val="sr-Cyrl-RS"/>
        </w:rPr>
        <w:t>8,88</w:t>
      </w:r>
      <w:r>
        <w:rPr>
          <w:rFonts w:ascii="Times New Roman" w:hAnsi="Times New Roman" w:cs="Times New Roman"/>
          <w:lang w:val="sr-Cyrl-RS"/>
        </w:rPr>
        <w:t xml:space="preserve">% укупног буџета, </w:t>
      </w:r>
      <w:r w:rsidR="00792A78">
        <w:rPr>
          <w:rFonts w:ascii="Times New Roman" w:hAnsi="Times New Roman" w:cs="Times New Roman"/>
          <w:lang w:val="sr-Cyrl-RS"/>
        </w:rPr>
        <w:t xml:space="preserve">што чини умањење од 1.119.111 динара у односу на Одлуку о буџету, </w:t>
      </w:r>
      <w:r>
        <w:rPr>
          <w:rFonts w:ascii="Times New Roman" w:hAnsi="Times New Roman" w:cs="Times New Roman"/>
          <w:lang w:val="sr-Cyrl-RS"/>
        </w:rPr>
        <w:t xml:space="preserve">а односи се на продају </w:t>
      </w:r>
      <w:r w:rsidR="002818BF">
        <w:rPr>
          <w:rFonts w:ascii="Times New Roman" w:hAnsi="Times New Roman" w:cs="Times New Roman"/>
          <w:lang w:val="sr-Cyrl-RS"/>
        </w:rPr>
        <w:t xml:space="preserve">објеката на Ртњу, </w:t>
      </w:r>
      <w:r>
        <w:rPr>
          <w:rFonts w:ascii="Times New Roman" w:hAnsi="Times New Roman" w:cs="Times New Roman"/>
          <w:lang w:val="sr-Cyrl-RS"/>
        </w:rPr>
        <w:t>зграде у центру града, пословног простора у власништв</w:t>
      </w:r>
      <w:r w:rsidR="002050E1">
        <w:rPr>
          <w:rFonts w:ascii="Times New Roman" w:hAnsi="Times New Roman" w:cs="Times New Roman"/>
          <w:lang w:val="sr-Cyrl-RS"/>
        </w:rPr>
        <w:t>у локалне самоуправе и земљишта,</w:t>
      </w:r>
    </w:p>
    <w:p w:rsidR="00264CB5" w:rsidRDefault="00264CB5" w:rsidP="00264CB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u w:val="single"/>
          <w:lang w:val="sr-Cyrl-RS"/>
        </w:rPr>
        <w:t>Примања од задуживања код пословних банака</w:t>
      </w:r>
      <w:r>
        <w:rPr>
          <w:rFonts w:ascii="Times New Roman" w:hAnsi="Times New Roman" w:cs="Times New Roman"/>
          <w:lang w:val="sr-Cyrl-RS"/>
        </w:rPr>
        <w:t xml:space="preserve"> (конто 90) у укуп</w:t>
      </w:r>
      <w:r w:rsidR="002050E1">
        <w:rPr>
          <w:rFonts w:ascii="Times New Roman" w:hAnsi="Times New Roman" w:cs="Times New Roman"/>
          <w:lang w:val="sr-Cyrl-RS"/>
        </w:rPr>
        <w:t>ном износу од</w:t>
      </w:r>
      <w:r w:rsidR="00FF54D1">
        <w:rPr>
          <w:rFonts w:ascii="Times New Roman" w:hAnsi="Times New Roman" w:cs="Times New Roman"/>
          <w:lang w:val="sr-Cyrl-RS"/>
        </w:rPr>
        <w:t xml:space="preserve"> 1</w:t>
      </w:r>
      <w:r w:rsidR="00792A78">
        <w:rPr>
          <w:rFonts w:ascii="Times New Roman" w:hAnsi="Times New Roman" w:cs="Times New Roman"/>
          <w:lang w:val="sr-Cyrl-RS"/>
        </w:rPr>
        <w:t>3</w:t>
      </w:r>
      <w:r w:rsidR="00FF54D1">
        <w:rPr>
          <w:rFonts w:ascii="Times New Roman" w:hAnsi="Times New Roman" w:cs="Times New Roman"/>
          <w:lang w:val="sr-Cyrl-RS"/>
        </w:rPr>
        <w:t xml:space="preserve">.000.000 динара, односно </w:t>
      </w:r>
      <w:r w:rsidR="00792A78">
        <w:rPr>
          <w:rFonts w:ascii="Times New Roman" w:hAnsi="Times New Roman" w:cs="Times New Roman"/>
          <w:lang w:val="sr-Cyrl-RS"/>
        </w:rPr>
        <w:t>2,35</w:t>
      </w:r>
      <w:r w:rsidR="002050E1">
        <w:rPr>
          <w:rFonts w:ascii="Times New Roman" w:hAnsi="Times New Roman" w:cs="Times New Roman"/>
          <w:lang w:val="sr-Cyrl-RS"/>
        </w:rPr>
        <w:t xml:space="preserve">% укупног буџета, </w:t>
      </w:r>
      <w:r w:rsidR="00792A78">
        <w:rPr>
          <w:rFonts w:ascii="Times New Roman" w:hAnsi="Times New Roman" w:cs="Times New Roman"/>
          <w:lang w:val="sr-Cyrl-RS"/>
        </w:rPr>
        <w:t>што чини увећање од 13.000.000 динара у односу на Одлуку о буџету</w:t>
      </w:r>
      <w:r w:rsidR="00E245EC">
        <w:rPr>
          <w:rFonts w:ascii="Times New Roman" w:hAnsi="Times New Roman" w:cs="Times New Roman"/>
          <w:lang w:val="sr-Cyrl-RS"/>
        </w:rPr>
        <w:t xml:space="preserve">, а која су </w:t>
      </w:r>
      <w:r w:rsidR="002050E1">
        <w:rPr>
          <w:rFonts w:ascii="Times New Roman" w:hAnsi="Times New Roman" w:cs="Times New Roman"/>
          <w:lang w:val="sr-Cyrl-RS"/>
        </w:rPr>
        <w:t xml:space="preserve">планирана за изградњу </w:t>
      </w:r>
      <w:r w:rsidR="00E245EC">
        <w:rPr>
          <w:rFonts w:ascii="Times New Roman" w:hAnsi="Times New Roman" w:cs="Times New Roman"/>
          <w:lang w:val="sr-Cyrl-RS"/>
        </w:rPr>
        <w:t>путне инфраструктуре (Врбовац, Рујиште, Насеље Ртањ и Савинац-Буково)</w:t>
      </w:r>
      <w:r w:rsidR="002050E1">
        <w:rPr>
          <w:rFonts w:ascii="Times New Roman" w:hAnsi="Times New Roman" w:cs="Times New Roman"/>
          <w:lang w:val="sr-Cyrl-RS"/>
        </w:rPr>
        <w:t xml:space="preserve"> и </w:t>
      </w:r>
      <w:r w:rsidR="00E245EC">
        <w:rPr>
          <w:rFonts w:ascii="Times New Roman" w:hAnsi="Times New Roman" w:cs="Times New Roman"/>
          <w:lang w:val="sr-Cyrl-RS"/>
        </w:rPr>
        <w:t>капитално одржавање спортско рекреативног центра Вртић у Бољевцу</w:t>
      </w:r>
      <w:r w:rsidR="002050E1">
        <w:rPr>
          <w:rFonts w:ascii="Times New Roman" w:hAnsi="Times New Roman" w:cs="Times New Roman"/>
          <w:lang w:val="sr-Cyrl-RS"/>
        </w:rPr>
        <w:t xml:space="preserve"> и</w:t>
      </w:r>
    </w:p>
    <w:p w:rsidR="00E245EC" w:rsidRDefault="002050E1" w:rsidP="00264CB5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u w:val="single"/>
          <w:lang w:val="sr-Cyrl-RS"/>
        </w:rPr>
        <w:t>Неутрошена средства из ранијих година и средства за посебне намене (извор 13)</w:t>
      </w:r>
      <w:r>
        <w:rPr>
          <w:rFonts w:ascii="Times New Roman" w:hAnsi="Times New Roman" w:cs="Times New Roman"/>
          <w:lang w:val="sr-Cyrl-RS"/>
        </w:rPr>
        <w:t xml:space="preserve"> у укупном износу од </w:t>
      </w:r>
      <w:r w:rsidR="00E245EC">
        <w:rPr>
          <w:rFonts w:ascii="Times New Roman" w:hAnsi="Times New Roman" w:cs="Times New Roman"/>
          <w:lang w:val="sr-Cyrl-RS"/>
        </w:rPr>
        <w:t>7.371.695</w:t>
      </w:r>
      <w:r>
        <w:rPr>
          <w:rFonts w:ascii="Times New Roman" w:hAnsi="Times New Roman" w:cs="Times New Roman"/>
          <w:lang w:val="sr-Cyrl-RS"/>
        </w:rPr>
        <w:t xml:space="preserve"> динара, односно </w:t>
      </w:r>
      <w:r w:rsidR="00E245EC">
        <w:rPr>
          <w:rFonts w:ascii="Times New Roman" w:hAnsi="Times New Roman" w:cs="Times New Roman"/>
          <w:lang w:val="sr-Cyrl-RS"/>
        </w:rPr>
        <w:t>1,33</w:t>
      </w:r>
      <w:r>
        <w:rPr>
          <w:rFonts w:ascii="Times New Roman" w:hAnsi="Times New Roman" w:cs="Times New Roman"/>
          <w:lang w:val="sr-Cyrl-RS"/>
        </w:rPr>
        <w:t xml:space="preserve">% укупног буџета, </w:t>
      </w:r>
      <w:r w:rsidR="00E245EC">
        <w:rPr>
          <w:rFonts w:ascii="Times New Roman" w:hAnsi="Times New Roman" w:cs="Times New Roman"/>
          <w:lang w:val="sr-Cyrl-RS"/>
        </w:rPr>
        <w:t xml:space="preserve">што чини увећање од 6.106.695 динара у односу на Одлуку о буџету, а </w:t>
      </w:r>
      <w:r>
        <w:rPr>
          <w:rFonts w:ascii="Times New Roman" w:hAnsi="Times New Roman" w:cs="Times New Roman"/>
          <w:lang w:val="sr-Cyrl-RS"/>
        </w:rPr>
        <w:t>која су</w:t>
      </w:r>
      <w:r w:rsidR="00E245EC">
        <w:rPr>
          <w:rFonts w:ascii="Times New Roman" w:hAnsi="Times New Roman" w:cs="Times New Roman"/>
          <w:lang w:val="sr-Cyrl-RS"/>
        </w:rPr>
        <w:t>:</w:t>
      </w:r>
    </w:p>
    <w:p w:rsidR="002050E1" w:rsidRDefault="00E245EC" w:rsidP="00E245E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E245EC">
        <w:rPr>
          <w:rFonts w:ascii="Times New Roman" w:hAnsi="Times New Roman" w:cs="Times New Roman"/>
          <w:lang w:val="sr-Cyrl-RS"/>
        </w:rPr>
        <w:t>Н</w:t>
      </w:r>
      <w:r w:rsidR="002050E1">
        <w:rPr>
          <w:rFonts w:ascii="Times New Roman" w:hAnsi="Times New Roman" w:cs="Times New Roman"/>
          <w:lang w:val="sr-Cyrl-RS"/>
        </w:rPr>
        <w:t xml:space="preserve">аменски опредељена </w:t>
      </w:r>
      <w:r>
        <w:rPr>
          <w:rFonts w:ascii="Times New Roman" w:hAnsi="Times New Roman" w:cs="Times New Roman"/>
          <w:lang w:val="sr-Cyrl-RS"/>
        </w:rPr>
        <w:t xml:space="preserve">у износу од 5.710.140 </w:t>
      </w:r>
      <w:r w:rsidR="002050E1">
        <w:rPr>
          <w:rFonts w:ascii="Times New Roman" w:hAnsi="Times New Roman" w:cs="Times New Roman"/>
          <w:lang w:val="sr-Cyrl-RS"/>
        </w:rPr>
        <w:t xml:space="preserve">за потребе </w:t>
      </w:r>
      <w:r>
        <w:rPr>
          <w:rFonts w:ascii="Times New Roman" w:hAnsi="Times New Roman" w:cs="Times New Roman"/>
          <w:lang w:val="sr-Cyrl-RS"/>
        </w:rPr>
        <w:t>куповине кућа за избеглице</w:t>
      </w:r>
      <w:r w:rsidR="002818BF">
        <w:rPr>
          <w:rFonts w:ascii="Times New Roman" w:hAnsi="Times New Roman" w:cs="Times New Roman"/>
          <w:lang w:val="sr-Cyrl-RS"/>
        </w:rPr>
        <w:t xml:space="preserve"> (</w:t>
      </w:r>
      <w:r>
        <w:rPr>
          <w:rFonts w:ascii="Times New Roman" w:hAnsi="Times New Roman" w:cs="Times New Roman"/>
          <w:lang w:val="sr-Cyrl-RS"/>
        </w:rPr>
        <w:t>3.790.500 динара) и</w:t>
      </w:r>
      <w:r w:rsidR="002818BF">
        <w:rPr>
          <w:rFonts w:ascii="Times New Roman" w:hAnsi="Times New Roman" w:cs="Times New Roman"/>
          <w:lang w:val="sr-Cyrl-RS"/>
        </w:rPr>
        <w:t xml:space="preserve"> </w:t>
      </w:r>
      <w:r w:rsidR="002050E1">
        <w:rPr>
          <w:rFonts w:ascii="Times New Roman" w:hAnsi="Times New Roman" w:cs="Times New Roman"/>
          <w:lang w:val="sr-Cyrl-RS"/>
        </w:rPr>
        <w:t xml:space="preserve">за </w:t>
      </w:r>
      <w:r>
        <w:rPr>
          <w:rFonts w:ascii="Times New Roman" w:hAnsi="Times New Roman" w:cs="Times New Roman"/>
          <w:lang w:val="sr-Cyrl-RS"/>
        </w:rPr>
        <w:t>капитално одржавање моста Паралва</w:t>
      </w:r>
      <w:r w:rsidR="002818BF">
        <w:rPr>
          <w:rFonts w:ascii="Times New Roman" w:hAnsi="Times New Roman" w:cs="Times New Roman"/>
          <w:lang w:val="sr-Cyrl-RS"/>
        </w:rPr>
        <w:t xml:space="preserve"> (</w:t>
      </w:r>
      <w:r>
        <w:rPr>
          <w:rFonts w:ascii="Times New Roman" w:hAnsi="Times New Roman" w:cs="Times New Roman"/>
          <w:lang w:val="sr-Cyrl-RS"/>
        </w:rPr>
        <w:t>1.919.640</w:t>
      </w:r>
      <w:r w:rsidR="002818BF">
        <w:rPr>
          <w:rFonts w:ascii="Times New Roman" w:hAnsi="Times New Roman" w:cs="Times New Roman"/>
          <w:lang w:val="sr-Cyrl-RS"/>
        </w:rPr>
        <w:t xml:space="preserve"> динара).</w:t>
      </w:r>
    </w:p>
    <w:p w:rsidR="00E245EC" w:rsidRDefault="00E245EC" w:rsidP="00E245E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Ненаменски опредељена (стање на текућем рачуну) у износу од 1.661.555 динара.</w:t>
      </w:r>
    </w:p>
    <w:p w:rsidR="002050E1" w:rsidRDefault="002050E1" w:rsidP="002050E1">
      <w:pPr>
        <w:pStyle w:val="NoSpacing"/>
        <w:ind w:left="36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Cyrl-RS"/>
        </w:rPr>
        <w:t xml:space="preserve">У наредној табели је дат приказ планираних прихода и примања по изворима финансирања и смањење односно повећање у односу на </w:t>
      </w:r>
      <w:r w:rsidR="00E245EC">
        <w:rPr>
          <w:rFonts w:ascii="Times New Roman" w:hAnsi="Times New Roman" w:cs="Times New Roman"/>
          <w:lang w:val="sr-Cyrl-RS"/>
        </w:rPr>
        <w:t>Одлуку</w:t>
      </w:r>
      <w:r>
        <w:rPr>
          <w:rFonts w:ascii="Times New Roman" w:hAnsi="Times New Roman" w:cs="Times New Roman"/>
          <w:lang w:val="sr-Cyrl-RS"/>
        </w:rPr>
        <w:t xml:space="preserve"> о буџету:</w:t>
      </w:r>
    </w:p>
    <w:p w:rsidR="00595A99" w:rsidRPr="00595A99" w:rsidRDefault="00595A99" w:rsidP="002050E1">
      <w:pPr>
        <w:pStyle w:val="NoSpacing"/>
        <w:ind w:left="360"/>
        <w:jc w:val="both"/>
        <w:rPr>
          <w:rFonts w:ascii="Times New Roman" w:hAnsi="Times New Roman" w:cs="Times New Roman"/>
          <w:lang w:val="sr-Latn-RS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93"/>
        <w:gridCol w:w="2808"/>
        <w:gridCol w:w="850"/>
        <w:gridCol w:w="682"/>
        <w:gridCol w:w="659"/>
        <w:gridCol w:w="786"/>
        <w:gridCol w:w="708"/>
        <w:gridCol w:w="746"/>
        <w:gridCol w:w="716"/>
        <w:gridCol w:w="806"/>
        <w:gridCol w:w="567"/>
        <w:gridCol w:w="851"/>
      </w:tblGrid>
      <w:tr w:rsidR="00E10B44" w:rsidRPr="00E10B44" w:rsidTr="00E10B44">
        <w:trPr>
          <w:trHeight w:val="315"/>
        </w:trPr>
        <w:tc>
          <w:tcPr>
            <w:tcW w:w="8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Економска класификација</w:t>
            </w:r>
          </w:p>
        </w:tc>
        <w:tc>
          <w:tcPr>
            <w:tcW w:w="28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Опис</w:t>
            </w:r>
          </w:p>
        </w:tc>
        <w:tc>
          <w:tcPr>
            <w:tcW w:w="7371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Приходи по изворима финансирања</w:t>
            </w:r>
          </w:p>
        </w:tc>
      </w:tr>
      <w:tr w:rsidR="00E10B44" w:rsidRPr="00E10B44" w:rsidTr="00E10B44">
        <w:trPr>
          <w:trHeight w:val="1275"/>
        </w:trPr>
        <w:tc>
          <w:tcPr>
            <w:tcW w:w="8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</w:p>
        </w:tc>
        <w:tc>
          <w:tcPr>
            <w:tcW w:w="28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01-Приходи из буџета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03- Приходи од социјалних давања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04- Сопствени приходи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06- Приходи од донација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07- Приходи из републике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08-Добровољни трансфери од физичких и правних лица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10- Примања од домаћих задуживања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13 - Нераспоређени вишак прихода из ранијих година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16- родитељски динар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УКУПНО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311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Пренета неутрошена средства из ранијих година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7.371.695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7.371.695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711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Порез на доходак и капиталне добитке које плаћају физичка лица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97.721.500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97.721.500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713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Порез на имовину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36.800.000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36.800.000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714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Порез на добра и услуге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7.770.000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7.770.000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716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Други порези које искључиво плаћају предузећа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6.350.000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6.350.000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732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Донације од међународних организација у корист нивоа општина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60.744.200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60.744.200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733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Трансфери од других нивоа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205.775.000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100.000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51.000.218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256.875.218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741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Приходи од имовине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3.880.000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3.880.000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lastRenderedPageBreak/>
              <w:t>742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Приходи од продаје добара и услуга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7.140.000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885.000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650.000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8.675.000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743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Новчане казне и одузета имовинска корист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2.630.000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2.630.000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744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Добровољни трансфери од физичких и правних лица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449.800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449.800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745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Мешовити и неодређени приходи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1.720.000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1.720.000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772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 xml:space="preserve">Меморандумске ставке за рефундацију расхода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220.000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220.000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811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Примања од продаје непокретности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41.500.000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41.500.000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841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Примања од продаје земљишта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7.652.809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7.652.809</w:t>
            </w:r>
          </w:p>
        </w:tc>
      </w:tr>
      <w:tr w:rsidR="00E10B44" w:rsidRPr="00E10B44" w:rsidTr="00E10B44">
        <w:trPr>
          <w:trHeight w:val="31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911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Примања од домаћих задуживања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13.000.000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color w:val="000000"/>
                <w:sz w:val="10"/>
                <w:szCs w:val="14"/>
                <w:lang w:val="sr-Latn-RS" w:eastAsia="sr-Latn-RS"/>
              </w:rPr>
              <w:t>13.000.000</w:t>
            </w:r>
          </w:p>
        </w:tc>
      </w:tr>
      <w:tr w:rsidR="00E10B44" w:rsidRPr="00E10B44" w:rsidTr="00E10B44">
        <w:trPr>
          <w:trHeight w:val="315"/>
        </w:trPr>
        <w:tc>
          <w:tcPr>
            <w:tcW w:w="3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 xml:space="preserve">УКУПНО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418.939.309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100.000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885.000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60.744.200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51.220.218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449.800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13.000.000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7.371.695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650.000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553.360.222</w:t>
            </w:r>
          </w:p>
        </w:tc>
      </w:tr>
      <w:tr w:rsidR="00E10B44" w:rsidRPr="00E10B44" w:rsidTr="00E10B44">
        <w:trPr>
          <w:trHeight w:val="315"/>
        </w:trPr>
        <w:tc>
          <w:tcPr>
            <w:tcW w:w="3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Одлука о буџету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414.746.920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200.000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652.000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60.744.200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24.842.552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550.000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1.265.000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650.000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503.650.672</w:t>
            </w:r>
          </w:p>
        </w:tc>
      </w:tr>
      <w:tr w:rsidR="00E10B44" w:rsidRPr="00E10B44" w:rsidTr="00E10B44">
        <w:trPr>
          <w:trHeight w:val="315"/>
        </w:trPr>
        <w:tc>
          <w:tcPr>
            <w:tcW w:w="3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Разлика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4.192.389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-100.000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233.000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26.377.666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-100.200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13.000.000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6.106.695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10B44" w:rsidRPr="00E10B44" w:rsidRDefault="00E10B44" w:rsidP="00E10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</w:pPr>
            <w:r w:rsidRPr="00E10B44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4"/>
                <w:lang w:val="sr-Latn-RS" w:eastAsia="sr-Latn-RS"/>
              </w:rPr>
              <w:t>49.709.550</w:t>
            </w:r>
          </w:p>
        </w:tc>
      </w:tr>
    </w:tbl>
    <w:p w:rsidR="00264CB5" w:rsidRDefault="00264CB5" w:rsidP="00264CB5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67141E" w:rsidRDefault="0067141E" w:rsidP="00264CB5">
      <w:pPr>
        <w:pStyle w:val="NoSpacing"/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 xml:space="preserve">Буџетски расходи и </w:t>
      </w:r>
      <w:r w:rsidR="00FF54D1">
        <w:rPr>
          <w:rFonts w:ascii="Times New Roman" w:hAnsi="Times New Roman" w:cs="Times New Roman"/>
          <w:b/>
          <w:lang w:val="sr-Cyrl-RS"/>
        </w:rPr>
        <w:t>и</w:t>
      </w:r>
      <w:r>
        <w:rPr>
          <w:rFonts w:ascii="Times New Roman" w:hAnsi="Times New Roman" w:cs="Times New Roman"/>
          <w:b/>
          <w:lang w:val="sr-Cyrl-RS"/>
        </w:rPr>
        <w:t>здаци</w:t>
      </w:r>
    </w:p>
    <w:p w:rsidR="0067141E" w:rsidRDefault="0067141E" w:rsidP="00264CB5">
      <w:pPr>
        <w:pStyle w:val="NoSpacing"/>
        <w:jc w:val="both"/>
        <w:rPr>
          <w:rFonts w:ascii="Times New Roman" w:hAnsi="Times New Roman" w:cs="Times New Roman"/>
          <w:b/>
          <w:lang w:val="sr-Cyrl-RS"/>
        </w:rPr>
      </w:pPr>
    </w:p>
    <w:p w:rsidR="0067141E" w:rsidRDefault="0067141E" w:rsidP="00264CB5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 xml:space="preserve">Укупни расходи и издаци са отплатом главнице према домаћим кредиторима у Ребалансу утврђени су у износу од </w:t>
      </w:r>
      <w:r w:rsidR="00E10B44">
        <w:rPr>
          <w:rFonts w:ascii="Times New Roman" w:hAnsi="Times New Roman" w:cs="Times New Roman"/>
          <w:lang w:val="sr-Cyrl-RS"/>
        </w:rPr>
        <w:t>553.360.222</w:t>
      </w:r>
      <w:r>
        <w:rPr>
          <w:rFonts w:ascii="Times New Roman" w:hAnsi="Times New Roman" w:cs="Times New Roman"/>
          <w:lang w:val="sr-Cyrl-RS"/>
        </w:rPr>
        <w:t xml:space="preserve"> динара, што у односу на Одлуку о буџету чини повећање за </w:t>
      </w:r>
      <w:r w:rsidR="00E10B44">
        <w:rPr>
          <w:rFonts w:ascii="Times New Roman" w:hAnsi="Times New Roman" w:cs="Times New Roman"/>
          <w:lang w:val="sr-Cyrl-RS"/>
        </w:rPr>
        <w:t>49.709.550</w:t>
      </w:r>
      <w:r w:rsidR="003B2816">
        <w:rPr>
          <w:rFonts w:ascii="Times New Roman" w:hAnsi="Times New Roman" w:cs="Times New Roman"/>
          <w:lang w:val="sr-Cyrl-RS"/>
        </w:rPr>
        <w:t xml:space="preserve"> динара.</w:t>
      </w:r>
    </w:p>
    <w:p w:rsidR="003B2816" w:rsidRDefault="003B2816" w:rsidP="00264CB5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>Што се тиче расхода и издатака, у наредној табели дат је приказ смањења односно повећања расхода и издатака у Ребалансу у односу на Одлуку о буџету за 201</w:t>
      </w:r>
      <w:r w:rsidR="00E10B44">
        <w:rPr>
          <w:rFonts w:ascii="Times New Roman" w:hAnsi="Times New Roman" w:cs="Times New Roman"/>
          <w:lang w:val="sr-Cyrl-RS"/>
        </w:rPr>
        <w:t>7</w:t>
      </w:r>
      <w:r>
        <w:rPr>
          <w:rFonts w:ascii="Times New Roman" w:hAnsi="Times New Roman" w:cs="Times New Roman"/>
          <w:lang w:val="sr-Cyrl-RS"/>
        </w:rPr>
        <w:t>. годину по разделима и главама:</w:t>
      </w:r>
    </w:p>
    <w:p w:rsidR="003F21AE" w:rsidRDefault="003F21AE" w:rsidP="00264CB5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p w:rsidR="00391343" w:rsidRPr="00391343" w:rsidRDefault="00391343" w:rsidP="00264CB5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tbl>
      <w:tblPr>
        <w:tblW w:w="7960" w:type="dxa"/>
        <w:jc w:val="center"/>
        <w:tblInd w:w="93" w:type="dxa"/>
        <w:tblLook w:val="04A0" w:firstRow="1" w:lastRow="0" w:firstColumn="1" w:lastColumn="0" w:noHBand="0" w:noVBand="1"/>
      </w:tblPr>
      <w:tblGrid>
        <w:gridCol w:w="1380"/>
        <w:gridCol w:w="3040"/>
        <w:gridCol w:w="1480"/>
        <w:gridCol w:w="1106"/>
        <w:gridCol w:w="1060"/>
      </w:tblGrid>
      <w:tr w:rsidR="00CC3A53" w:rsidRPr="00CC3A53" w:rsidTr="00CC3A53">
        <w:trPr>
          <w:trHeight w:val="300"/>
          <w:jc w:val="center"/>
        </w:trPr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РАЗДЕО ГЛАВА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РАЗДЕО-ГЛАВА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Одлука о буџету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Ребаланс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Разлика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3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5=4-3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СКУПШТИНА ОПШТИНЕ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6.844.264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7.356.178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511.914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ПРЕДСЕДНИК ОПШТИНЕ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9.298.591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8.108.591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-1.190.000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ОПШТИНСКО ВЕЋЕ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350.000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972.600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622.600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4.01.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ОПШТИНСКА УПРАВА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369.737.472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415.912.791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46.175.319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4.02.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Фонд за развој пољопривреде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7.000.000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7.000.000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4.03.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Фонд за заштиту животне средине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3.500.000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3.500.000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0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4.04.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 xml:space="preserve">Предшколско васпитање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32.402.722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32.637.722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235.000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4.05.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Развој културе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50.300.000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50.121.940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-178.060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4.06.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Развој туризма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11.661.445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13.970.445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2.309.000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4.07.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Месне заједнице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9.001.750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10.352.650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1.350.900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ОПШТИНСКО ПРАВОБРАНИЛАШТВО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FF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3.554.428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3.427.305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color w:val="000000"/>
                <w:sz w:val="16"/>
                <w:szCs w:val="16"/>
                <w:lang w:val="sr-Latn-RS" w:eastAsia="sr-Latn-RS"/>
              </w:rPr>
              <w:t>-127.123</w:t>
            </w:r>
          </w:p>
        </w:tc>
      </w:tr>
      <w:tr w:rsidR="00CC3A53" w:rsidRPr="00CC3A53" w:rsidTr="00CC3A53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УКУПНИ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503.650.672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553.360.222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CC3A53" w:rsidRPr="00CC3A53" w:rsidRDefault="00CC3A53" w:rsidP="00CC3A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  <w:r w:rsidRPr="00CC3A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sr-Latn-RS" w:eastAsia="sr-Latn-RS"/>
              </w:rPr>
              <w:t>49.709.550</w:t>
            </w:r>
          </w:p>
        </w:tc>
      </w:tr>
    </w:tbl>
    <w:p w:rsidR="003B2816" w:rsidRDefault="003B2816" w:rsidP="00264CB5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391343" w:rsidRDefault="00391343" w:rsidP="00264CB5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p w:rsidR="00B10FA5" w:rsidRDefault="004703EE" w:rsidP="00264CB5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>Што се тиче масе средстава за плате</w:t>
      </w:r>
      <w:r w:rsidR="009E41AF">
        <w:rPr>
          <w:rFonts w:ascii="Times New Roman" w:hAnsi="Times New Roman" w:cs="Times New Roman"/>
          <w:lang w:val="sr-Cyrl-RS"/>
        </w:rPr>
        <w:t xml:space="preserve">, она </w:t>
      </w:r>
      <w:r w:rsidR="00CC3A53">
        <w:rPr>
          <w:rFonts w:ascii="Times New Roman" w:hAnsi="Times New Roman" w:cs="Times New Roman"/>
          <w:lang w:val="sr-Cyrl-RS"/>
        </w:rPr>
        <w:t>је остала иста у односу на Одлуку о буџету, али је извршена расподела међу корисницима.</w:t>
      </w:r>
      <w:r w:rsidR="003F21AE">
        <w:rPr>
          <w:rFonts w:ascii="Times New Roman" w:hAnsi="Times New Roman" w:cs="Times New Roman"/>
          <w:lang w:val="sr-Cyrl-RS"/>
        </w:rPr>
        <w:t>.</w:t>
      </w:r>
    </w:p>
    <w:p w:rsidR="004703EE" w:rsidRDefault="00341889" w:rsidP="00B10FA5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Планирана маса средстава за плате у 201</w:t>
      </w:r>
      <w:r w:rsidR="00CC3A53">
        <w:rPr>
          <w:rFonts w:ascii="Times New Roman" w:hAnsi="Times New Roman" w:cs="Times New Roman"/>
          <w:lang w:val="sr-Cyrl-RS"/>
        </w:rPr>
        <w:t>7</w:t>
      </w:r>
      <w:r>
        <w:rPr>
          <w:rFonts w:ascii="Times New Roman" w:hAnsi="Times New Roman" w:cs="Times New Roman"/>
          <w:lang w:val="sr-Cyrl-RS"/>
        </w:rPr>
        <w:t>. години приказана је у следећој табели (Табела 1):</w:t>
      </w:r>
    </w:p>
    <w:p w:rsidR="003F21AE" w:rsidRDefault="003F21AE" w:rsidP="00B10FA5">
      <w:pPr>
        <w:pStyle w:val="NoSpacing"/>
        <w:ind w:firstLine="720"/>
        <w:jc w:val="both"/>
        <w:rPr>
          <w:rFonts w:ascii="Times New Roman" w:hAnsi="Times New Roman" w:cs="Times New Roman"/>
          <w:lang w:val="sr-Latn-RS"/>
        </w:rPr>
      </w:pPr>
    </w:p>
    <w:p w:rsidR="00391343" w:rsidRDefault="00391343" w:rsidP="00B10FA5">
      <w:pPr>
        <w:pStyle w:val="NoSpacing"/>
        <w:ind w:firstLine="720"/>
        <w:jc w:val="both"/>
        <w:rPr>
          <w:rFonts w:ascii="Times New Roman" w:hAnsi="Times New Roman" w:cs="Times New Roman"/>
          <w:lang w:val="sr-Latn-RS"/>
        </w:rPr>
      </w:pPr>
    </w:p>
    <w:p w:rsidR="00391343" w:rsidRDefault="00391343" w:rsidP="00B10FA5">
      <w:pPr>
        <w:pStyle w:val="NoSpacing"/>
        <w:ind w:firstLine="720"/>
        <w:jc w:val="both"/>
        <w:rPr>
          <w:rFonts w:ascii="Times New Roman" w:hAnsi="Times New Roman" w:cs="Times New Roman"/>
          <w:lang w:val="sr-Latn-RS"/>
        </w:rPr>
      </w:pPr>
    </w:p>
    <w:p w:rsidR="00391343" w:rsidRDefault="00391343" w:rsidP="00B10FA5">
      <w:pPr>
        <w:pStyle w:val="NoSpacing"/>
        <w:ind w:firstLine="720"/>
        <w:jc w:val="both"/>
        <w:rPr>
          <w:rFonts w:ascii="Times New Roman" w:hAnsi="Times New Roman" w:cs="Times New Roman"/>
          <w:lang w:val="sr-Latn-RS"/>
        </w:rPr>
      </w:pPr>
    </w:p>
    <w:p w:rsidR="00391343" w:rsidRPr="00391343" w:rsidRDefault="00391343" w:rsidP="00B10FA5">
      <w:pPr>
        <w:pStyle w:val="NoSpacing"/>
        <w:ind w:firstLine="720"/>
        <w:jc w:val="both"/>
        <w:rPr>
          <w:rFonts w:ascii="Times New Roman" w:hAnsi="Times New Roman" w:cs="Times New Roman"/>
          <w:lang w:val="sr-Latn-RS"/>
        </w:rPr>
      </w:pPr>
    </w:p>
    <w:tbl>
      <w:tblPr>
        <w:tblW w:w="8780" w:type="dxa"/>
        <w:jc w:val="center"/>
        <w:tblInd w:w="93" w:type="dxa"/>
        <w:tblLook w:val="04A0" w:firstRow="1" w:lastRow="0" w:firstColumn="1" w:lastColumn="0" w:noHBand="0" w:noVBand="1"/>
      </w:tblPr>
      <w:tblGrid>
        <w:gridCol w:w="568"/>
        <w:gridCol w:w="3948"/>
        <w:gridCol w:w="1116"/>
        <w:gridCol w:w="1016"/>
        <w:gridCol w:w="1116"/>
        <w:gridCol w:w="1016"/>
      </w:tblGrid>
      <w:tr w:rsidR="00CC5FB7" w:rsidRPr="00CC5FB7" w:rsidTr="00CC5FB7">
        <w:trPr>
          <w:trHeight w:val="945"/>
          <w:jc w:val="center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lastRenderedPageBreak/>
              <w:t>Ред.</w:t>
            </w:r>
          </w:p>
        </w:tc>
        <w:tc>
          <w:tcPr>
            <w:tcW w:w="4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Директни и индиректни корисници буџетских средстава локалне власти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Маса средстава за плате  планирана за 2017. годину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Ребаланс</w:t>
            </w:r>
          </w:p>
        </w:tc>
      </w:tr>
      <w:tr w:rsidR="00CC5FB7" w:rsidRPr="00CC5FB7" w:rsidTr="00CC5FB7">
        <w:trPr>
          <w:trHeight w:val="52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бр.</w:t>
            </w:r>
          </w:p>
        </w:tc>
        <w:tc>
          <w:tcPr>
            <w:tcW w:w="4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Буџетска средства 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Остали извори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Буџетска средства 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Остали извори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Органи и организације локалне власти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45.134.730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45.134.730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Скупштина општине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3.242.579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3.242.579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Председник општине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4.649.213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4.649.213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Општинско веће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222.600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Општинска управа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35.948.635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35.726.035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Општинско правобранилаштво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1.294.303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1.294.303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Установе културе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5.933.000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5.874.940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Остале установе из области јавних служби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Месне заједнице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Дирекције основане од стране локалне власти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Предшколске установе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17.875.715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3.809.109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17.875.715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3.809.109</w:t>
            </w:r>
          </w:p>
        </w:tc>
      </w:tr>
      <w:tr w:rsidR="00CC5FB7" w:rsidRPr="00CC5FB7" w:rsidTr="00CC5FB7">
        <w:trPr>
          <w:trHeight w:val="780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Јавна предузећа основана од стране локалне власти која се финансирају из јавних прихода чија је намена утврђена посебним законом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CC5FB7" w:rsidRPr="00CC5FB7" w:rsidTr="00CC5FB7">
        <w:trPr>
          <w:trHeight w:val="52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 xml:space="preserve">Остали индиректни корисници буџета:                                               -Туристичка организација                                                         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1.613.945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1.672.005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0</w:t>
            </w:r>
          </w:p>
        </w:tc>
      </w:tr>
      <w:tr w:rsidR="00CC5FB7" w:rsidRPr="00CC5FB7" w:rsidTr="00CC5FB7">
        <w:trPr>
          <w:trHeight w:val="315"/>
          <w:jc w:val="center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RS" w:eastAsia="sr-Latn-RS"/>
              </w:rPr>
              <w:t xml:space="preserve">Укупно за све кориснике буџетских средстава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70.557.390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3.809.109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70.557.390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5FB7" w:rsidRPr="00CC5FB7" w:rsidRDefault="00CC5FB7" w:rsidP="00CC5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C5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3.809.109</w:t>
            </w:r>
          </w:p>
        </w:tc>
      </w:tr>
    </w:tbl>
    <w:p w:rsidR="00341889" w:rsidRDefault="00341889" w:rsidP="00264CB5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B10FA5" w:rsidRDefault="00341889" w:rsidP="00264CB5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>Полазећи од постојећег броја запослених на неодређено и одређено време који се финансира из средстава буџета општине Бољевац, утврђеног обима средстав</w:t>
      </w:r>
      <w:r w:rsidR="00CC5FB7">
        <w:rPr>
          <w:rFonts w:ascii="Times New Roman" w:hAnsi="Times New Roman" w:cs="Times New Roman"/>
          <w:lang w:val="sr-Cyrl-RS"/>
        </w:rPr>
        <w:t>а буџета за исплату плата у 2017</w:t>
      </w:r>
      <w:r>
        <w:rPr>
          <w:rFonts w:ascii="Times New Roman" w:hAnsi="Times New Roman" w:cs="Times New Roman"/>
          <w:lang w:val="sr-Cyrl-RS"/>
        </w:rPr>
        <w:t>. години (економска класификација 411 и 412), те сагласно Упутству за припрему Одлуке о буџету локалне власти и приоритетима у потребама буџетских корисника, планиран број запослених по корисницима исказан је у следећој табели (Табе</w:t>
      </w:r>
      <w:r w:rsidR="00B10FA5">
        <w:rPr>
          <w:rFonts w:ascii="Times New Roman" w:hAnsi="Times New Roman" w:cs="Times New Roman"/>
          <w:lang w:val="sr-Cyrl-RS"/>
        </w:rPr>
        <w:t>ла 2):</w:t>
      </w:r>
    </w:p>
    <w:p w:rsidR="00E90053" w:rsidRDefault="00E90053" w:rsidP="00264CB5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98"/>
        <w:gridCol w:w="5239"/>
        <w:gridCol w:w="1904"/>
        <w:gridCol w:w="1820"/>
        <w:gridCol w:w="1435"/>
      </w:tblGrid>
      <w:tr w:rsidR="006F1DA0" w:rsidRPr="006F1DA0" w:rsidTr="006F1DA0">
        <w:trPr>
          <w:trHeight w:val="22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Директни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индиректни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корисници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буџетских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средстава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локалне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Број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запослених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неодређено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време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Број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запослених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одређено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време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Укупан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број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бр</w:t>
            </w:r>
            <w:proofErr w:type="spellEnd"/>
            <w:proofErr w:type="gram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5(3+4)</w:t>
            </w: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организације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локалне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власти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57</w:t>
            </w: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изабрана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лица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постављена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лица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7</w:t>
            </w: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запослени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46</w:t>
            </w: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7</w:t>
            </w: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индиректни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корисници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буџета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- 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основане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стране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локалне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6F1DA0" w:rsidRPr="006F1DA0" w:rsidTr="006F1DA0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Укупно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за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све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кориснике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буџета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на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које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се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односи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Закон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о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одређивању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максималног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броја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запослених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локалној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администрацији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66</w:t>
            </w: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Предшколске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установе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31</w:t>
            </w:r>
          </w:p>
        </w:tc>
      </w:tr>
      <w:tr w:rsidR="006F1DA0" w:rsidRPr="006F1DA0" w:rsidTr="006F1DA0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Привредна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друштва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облици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организовања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чији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једини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оснивач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локална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власт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6F1DA0" w:rsidRPr="006F1DA0" w:rsidTr="006F1DA0">
        <w:trPr>
          <w:trHeight w:val="2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F1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6F1DA0" w:rsidRDefault="006F1DA0" w:rsidP="006F1D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Укупно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за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све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кориснике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буџетских</w:t>
            </w:r>
            <w:proofErr w:type="spellEnd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F1DA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средстава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1DA0" w:rsidRPr="00CC5FB7" w:rsidRDefault="00CC5FB7" w:rsidP="006F1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/>
              </w:rPr>
              <w:t>97</w:t>
            </w:r>
          </w:p>
        </w:tc>
      </w:tr>
    </w:tbl>
    <w:p w:rsidR="00B10FA5" w:rsidRDefault="00B10FA5" w:rsidP="00264CB5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p w:rsidR="006F1DA0" w:rsidRDefault="006F1DA0" w:rsidP="00264CB5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Latn-RS"/>
        </w:rPr>
        <w:lastRenderedPageBreak/>
        <w:tab/>
      </w:r>
      <w:r>
        <w:rPr>
          <w:rFonts w:ascii="Times New Roman" w:hAnsi="Times New Roman" w:cs="Times New Roman"/>
          <w:lang w:val="sr-Cyrl-RS"/>
        </w:rPr>
        <w:t xml:space="preserve">Код раздела 1 – Скупштина </w:t>
      </w:r>
      <w:r w:rsidR="002F1FD0">
        <w:rPr>
          <w:rFonts w:ascii="Times New Roman" w:hAnsi="Times New Roman" w:cs="Times New Roman"/>
          <w:lang w:val="sr-Cyrl-RS"/>
        </w:rPr>
        <w:t>општине, Програм 1</w:t>
      </w:r>
      <w:r w:rsidR="00CC5FB7">
        <w:rPr>
          <w:rFonts w:ascii="Times New Roman" w:hAnsi="Times New Roman" w:cs="Times New Roman"/>
          <w:lang w:val="sr-Cyrl-RS"/>
        </w:rPr>
        <w:t>6</w:t>
      </w:r>
      <w:r w:rsidR="002F1FD0">
        <w:rPr>
          <w:rFonts w:ascii="Times New Roman" w:hAnsi="Times New Roman" w:cs="Times New Roman"/>
          <w:lang w:val="sr-Cyrl-RS"/>
        </w:rPr>
        <w:t>-</w:t>
      </w:r>
      <w:r w:rsidR="00CC5FB7">
        <w:rPr>
          <w:rFonts w:ascii="Times New Roman" w:hAnsi="Times New Roman" w:cs="Times New Roman"/>
          <w:lang w:val="sr-Cyrl-RS"/>
        </w:rPr>
        <w:t>2101</w:t>
      </w:r>
      <w:r>
        <w:rPr>
          <w:rFonts w:ascii="Times New Roman" w:hAnsi="Times New Roman" w:cs="Times New Roman"/>
          <w:lang w:val="sr-Cyrl-RS"/>
        </w:rPr>
        <w:t xml:space="preserve"> </w:t>
      </w:r>
      <w:r w:rsidR="004E7605">
        <w:rPr>
          <w:rFonts w:ascii="Times New Roman" w:hAnsi="Times New Roman" w:cs="Times New Roman"/>
          <w:lang w:val="sr-Cyrl-RS"/>
        </w:rPr>
        <w:t>повећа</w:t>
      </w:r>
      <w:r>
        <w:rPr>
          <w:rFonts w:ascii="Times New Roman" w:hAnsi="Times New Roman" w:cs="Times New Roman"/>
          <w:lang w:val="sr-Cyrl-RS"/>
        </w:rPr>
        <w:t xml:space="preserve">ни су трошкови у укупном износу од </w:t>
      </w:r>
      <w:r w:rsidR="00A010D0">
        <w:rPr>
          <w:rFonts w:ascii="Times New Roman" w:hAnsi="Times New Roman" w:cs="Times New Roman"/>
          <w:lang w:val="sr-Cyrl-RS"/>
        </w:rPr>
        <w:t>511.914</w:t>
      </w:r>
      <w:r>
        <w:rPr>
          <w:rFonts w:ascii="Times New Roman" w:hAnsi="Times New Roman" w:cs="Times New Roman"/>
          <w:lang w:val="sr-Cyrl-RS"/>
        </w:rPr>
        <w:t xml:space="preserve"> дина</w:t>
      </w:r>
      <w:r w:rsidR="00CD2AEA">
        <w:rPr>
          <w:rFonts w:ascii="Times New Roman" w:hAnsi="Times New Roman" w:cs="Times New Roman"/>
          <w:lang w:val="sr-Cyrl-RS"/>
        </w:rPr>
        <w:t>ра и то због повећања планираних трошкова за социјална давања за запослене (414) и услуге по уговору (423).</w:t>
      </w:r>
    </w:p>
    <w:p w:rsidR="0070629B" w:rsidRDefault="0070629B" w:rsidP="0070629B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D94213" w:rsidRDefault="0070629B" w:rsidP="00CD2AEA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Код раздела 2 – Председник </w:t>
      </w:r>
      <w:r w:rsidR="002F1FD0">
        <w:rPr>
          <w:rFonts w:ascii="Times New Roman" w:hAnsi="Times New Roman" w:cs="Times New Roman"/>
          <w:lang w:val="sr-Cyrl-RS"/>
        </w:rPr>
        <w:t xml:space="preserve">општине, Програм </w:t>
      </w:r>
      <w:r w:rsidR="00A010D0">
        <w:rPr>
          <w:rFonts w:ascii="Times New Roman" w:hAnsi="Times New Roman" w:cs="Times New Roman"/>
          <w:lang w:val="sr-Cyrl-RS"/>
        </w:rPr>
        <w:t>16-2101</w:t>
      </w:r>
      <w:r>
        <w:rPr>
          <w:rFonts w:ascii="Times New Roman" w:hAnsi="Times New Roman" w:cs="Times New Roman"/>
          <w:lang w:val="sr-Cyrl-RS"/>
        </w:rPr>
        <w:t xml:space="preserve"> </w:t>
      </w:r>
      <w:r w:rsidR="00A010D0">
        <w:rPr>
          <w:rFonts w:ascii="Times New Roman" w:hAnsi="Times New Roman" w:cs="Times New Roman"/>
          <w:lang w:val="sr-Cyrl-RS"/>
        </w:rPr>
        <w:t>смањени</w:t>
      </w:r>
      <w:r>
        <w:rPr>
          <w:rFonts w:ascii="Times New Roman" w:hAnsi="Times New Roman" w:cs="Times New Roman"/>
          <w:lang w:val="sr-Cyrl-RS"/>
        </w:rPr>
        <w:t xml:space="preserve"> су трошкови у укупном износу од </w:t>
      </w:r>
      <w:r w:rsidR="00A010D0">
        <w:rPr>
          <w:rFonts w:ascii="Times New Roman" w:hAnsi="Times New Roman" w:cs="Times New Roman"/>
          <w:lang w:val="sr-Cyrl-RS"/>
        </w:rPr>
        <w:t>1.190.000</w:t>
      </w:r>
      <w:r>
        <w:rPr>
          <w:rFonts w:ascii="Times New Roman" w:hAnsi="Times New Roman" w:cs="Times New Roman"/>
          <w:lang w:val="sr-Cyrl-RS"/>
        </w:rPr>
        <w:t xml:space="preserve"> динара</w:t>
      </w:r>
      <w:r w:rsidR="00CD2AEA">
        <w:rPr>
          <w:rFonts w:ascii="Times New Roman" w:hAnsi="Times New Roman" w:cs="Times New Roman"/>
          <w:lang w:val="sr-Cyrl-RS"/>
        </w:rPr>
        <w:t>.</w:t>
      </w:r>
    </w:p>
    <w:p w:rsidR="00D94213" w:rsidRDefault="00D94213" w:rsidP="00D94213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70629B" w:rsidRDefault="00D94213" w:rsidP="00CD2AEA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Код раздела 3 – Општинс</w:t>
      </w:r>
      <w:r w:rsidR="002F1FD0">
        <w:rPr>
          <w:rFonts w:ascii="Times New Roman" w:hAnsi="Times New Roman" w:cs="Times New Roman"/>
          <w:lang w:val="sr-Cyrl-RS"/>
        </w:rPr>
        <w:t xml:space="preserve">ко веће, Програм </w:t>
      </w:r>
      <w:r w:rsidR="00A010D0">
        <w:rPr>
          <w:rFonts w:ascii="Times New Roman" w:hAnsi="Times New Roman" w:cs="Times New Roman"/>
          <w:lang w:val="sr-Cyrl-RS"/>
        </w:rPr>
        <w:t>16-2101</w:t>
      </w:r>
      <w:r>
        <w:rPr>
          <w:rFonts w:ascii="Times New Roman" w:hAnsi="Times New Roman" w:cs="Times New Roman"/>
          <w:lang w:val="sr-Cyrl-RS"/>
        </w:rPr>
        <w:t xml:space="preserve"> повећани су трошкови у укупно</w:t>
      </w:r>
      <w:r w:rsidR="00CD2AEA">
        <w:rPr>
          <w:rFonts w:ascii="Times New Roman" w:hAnsi="Times New Roman" w:cs="Times New Roman"/>
          <w:lang w:val="sr-Cyrl-RS"/>
        </w:rPr>
        <w:t xml:space="preserve">м износу од </w:t>
      </w:r>
      <w:r w:rsidR="00A010D0">
        <w:rPr>
          <w:rFonts w:ascii="Times New Roman" w:hAnsi="Times New Roman" w:cs="Times New Roman"/>
          <w:lang w:val="sr-Cyrl-RS"/>
        </w:rPr>
        <w:t>622.600</w:t>
      </w:r>
      <w:r w:rsidR="00CD2AEA">
        <w:rPr>
          <w:rFonts w:ascii="Times New Roman" w:hAnsi="Times New Roman" w:cs="Times New Roman"/>
          <w:lang w:val="sr-Cyrl-RS"/>
        </w:rPr>
        <w:t xml:space="preserve"> динара и то због повећања планираних трошкова за </w:t>
      </w:r>
      <w:r w:rsidR="00A010D0">
        <w:rPr>
          <w:rFonts w:ascii="Times New Roman" w:hAnsi="Times New Roman" w:cs="Times New Roman"/>
          <w:lang w:val="sr-Cyrl-RS"/>
        </w:rPr>
        <w:t xml:space="preserve">зараде (411), социјалне допринсое на терет послодавца (412) и </w:t>
      </w:r>
      <w:r w:rsidR="00CD2AEA">
        <w:rPr>
          <w:rFonts w:ascii="Times New Roman" w:hAnsi="Times New Roman" w:cs="Times New Roman"/>
          <w:lang w:val="sr-Cyrl-RS"/>
        </w:rPr>
        <w:t>услуе по уговору (423).</w:t>
      </w:r>
    </w:p>
    <w:p w:rsidR="00D94213" w:rsidRDefault="00D94213" w:rsidP="00D94213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BA492B" w:rsidRDefault="00D94213" w:rsidP="00F06CE8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Код раздела 4 – Општинска управа, Глава 01 – Општинска </w:t>
      </w:r>
      <w:r w:rsidR="002F1FD0">
        <w:rPr>
          <w:rFonts w:ascii="Times New Roman" w:hAnsi="Times New Roman" w:cs="Times New Roman"/>
          <w:lang w:val="sr-Cyrl-RS"/>
        </w:rPr>
        <w:t xml:space="preserve">управа, Програм 15-0602 </w:t>
      </w:r>
      <w:r w:rsidR="00CD2AEA">
        <w:rPr>
          <w:rFonts w:ascii="Times New Roman" w:hAnsi="Times New Roman" w:cs="Times New Roman"/>
          <w:lang w:val="sr-Cyrl-RS"/>
        </w:rPr>
        <w:t>повећани</w:t>
      </w:r>
      <w:r>
        <w:rPr>
          <w:rFonts w:ascii="Times New Roman" w:hAnsi="Times New Roman" w:cs="Times New Roman"/>
          <w:lang w:val="sr-Cyrl-RS"/>
        </w:rPr>
        <w:t xml:space="preserve"> су трошкови у укупном износу од </w:t>
      </w:r>
      <w:r w:rsidR="00A010D0">
        <w:rPr>
          <w:rFonts w:ascii="Times New Roman" w:hAnsi="Times New Roman" w:cs="Times New Roman"/>
          <w:lang w:val="sr-Cyrl-RS"/>
        </w:rPr>
        <w:t>46.175.319</w:t>
      </w:r>
      <w:r w:rsidR="00CD2AEA">
        <w:rPr>
          <w:rFonts w:ascii="Times New Roman" w:hAnsi="Times New Roman" w:cs="Times New Roman"/>
          <w:lang w:val="sr-Cyrl-RS"/>
        </w:rPr>
        <w:t xml:space="preserve"> динара и то због повећања планираних трошкова за </w:t>
      </w:r>
      <w:r w:rsidR="00A010D0">
        <w:rPr>
          <w:rFonts w:ascii="Times New Roman" w:hAnsi="Times New Roman" w:cs="Times New Roman"/>
          <w:lang w:val="sr-Cyrl-RS"/>
        </w:rPr>
        <w:t>социјална давања запосленима</w:t>
      </w:r>
      <w:r w:rsidR="00CD2AEA">
        <w:rPr>
          <w:rFonts w:ascii="Times New Roman" w:hAnsi="Times New Roman" w:cs="Times New Roman"/>
          <w:lang w:val="sr-Cyrl-RS"/>
        </w:rPr>
        <w:t xml:space="preserve"> (41</w:t>
      </w:r>
      <w:r w:rsidR="00A010D0">
        <w:rPr>
          <w:rFonts w:ascii="Times New Roman" w:hAnsi="Times New Roman" w:cs="Times New Roman"/>
          <w:lang w:val="sr-Cyrl-RS"/>
        </w:rPr>
        <w:t>4</w:t>
      </w:r>
      <w:r w:rsidR="00CD2AEA">
        <w:rPr>
          <w:rFonts w:ascii="Times New Roman" w:hAnsi="Times New Roman" w:cs="Times New Roman"/>
          <w:lang w:val="sr-Cyrl-RS"/>
        </w:rPr>
        <w:t xml:space="preserve">), </w:t>
      </w:r>
      <w:r w:rsidR="00A010D0">
        <w:rPr>
          <w:rFonts w:ascii="Times New Roman" w:hAnsi="Times New Roman" w:cs="Times New Roman"/>
          <w:lang w:val="sr-Cyrl-RS"/>
        </w:rPr>
        <w:t xml:space="preserve">јубиларне награде (416), </w:t>
      </w:r>
      <w:r w:rsidR="00CD2AEA">
        <w:rPr>
          <w:rFonts w:ascii="Times New Roman" w:hAnsi="Times New Roman" w:cs="Times New Roman"/>
          <w:lang w:val="sr-Cyrl-RS"/>
        </w:rPr>
        <w:t xml:space="preserve">сталне трошкове </w:t>
      </w:r>
      <w:r w:rsidR="00A010D0">
        <w:rPr>
          <w:rFonts w:ascii="Times New Roman" w:hAnsi="Times New Roman" w:cs="Times New Roman"/>
          <w:lang w:val="sr-Cyrl-RS"/>
        </w:rPr>
        <w:t xml:space="preserve">за </w:t>
      </w:r>
      <w:r w:rsidR="00D1432E">
        <w:rPr>
          <w:rFonts w:ascii="Times New Roman" w:hAnsi="Times New Roman" w:cs="Times New Roman"/>
          <w:lang w:val="sr-Cyrl-RS"/>
        </w:rPr>
        <w:t>комуналне</w:t>
      </w:r>
      <w:r w:rsidR="00F06CE8">
        <w:rPr>
          <w:rFonts w:ascii="Times New Roman" w:hAnsi="Times New Roman" w:cs="Times New Roman"/>
          <w:lang w:val="sr-Cyrl-RS"/>
        </w:rPr>
        <w:t xml:space="preserve"> делатности </w:t>
      </w:r>
      <w:r w:rsidR="00CD2AEA">
        <w:rPr>
          <w:rFonts w:ascii="Times New Roman" w:hAnsi="Times New Roman" w:cs="Times New Roman"/>
          <w:lang w:val="sr-Cyrl-RS"/>
        </w:rPr>
        <w:t xml:space="preserve">(421), услуге по уговору </w:t>
      </w:r>
      <w:r w:rsidR="00F06CE8">
        <w:rPr>
          <w:rFonts w:ascii="Times New Roman" w:hAnsi="Times New Roman" w:cs="Times New Roman"/>
          <w:lang w:val="sr-Cyrl-RS"/>
        </w:rPr>
        <w:t>за Општинску</w:t>
      </w:r>
      <w:r w:rsidR="00A010D0">
        <w:rPr>
          <w:rFonts w:ascii="Times New Roman" w:hAnsi="Times New Roman" w:cs="Times New Roman"/>
          <w:lang w:val="sr-Cyrl-RS"/>
        </w:rPr>
        <w:t xml:space="preserve"> управу </w:t>
      </w:r>
      <w:r w:rsidR="00CD2AEA">
        <w:rPr>
          <w:rFonts w:ascii="Times New Roman" w:hAnsi="Times New Roman" w:cs="Times New Roman"/>
          <w:lang w:val="sr-Cyrl-RS"/>
        </w:rPr>
        <w:t>(423), специјализоване услуге за Опш</w:t>
      </w:r>
      <w:r w:rsidR="00A010D0">
        <w:rPr>
          <w:rFonts w:ascii="Times New Roman" w:hAnsi="Times New Roman" w:cs="Times New Roman"/>
          <w:lang w:val="sr-Cyrl-RS"/>
        </w:rPr>
        <w:t xml:space="preserve">тинску управу </w:t>
      </w:r>
      <w:r w:rsidR="00CD2AEA">
        <w:rPr>
          <w:rFonts w:ascii="Times New Roman" w:hAnsi="Times New Roman" w:cs="Times New Roman"/>
          <w:lang w:val="sr-Cyrl-RS"/>
        </w:rPr>
        <w:t>(424), текуће поправке и одржавање</w:t>
      </w:r>
      <w:r w:rsidR="00F06CE8">
        <w:rPr>
          <w:rFonts w:ascii="Times New Roman" w:hAnsi="Times New Roman" w:cs="Times New Roman"/>
          <w:lang w:val="sr-Cyrl-RS"/>
        </w:rPr>
        <w:t xml:space="preserve"> за Оп</w:t>
      </w:r>
      <w:r w:rsidR="00A010D0">
        <w:rPr>
          <w:rFonts w:ascii="Times New Roman" w:hAnsi="Times New Roman" w:cs="Times New Roman"/>
          <w:lang w:val="sr-Cyrl-RS"/>
        </w:rPr>
        <w:t xml:space="preserve">штинску управу </w:t>
      </w:r>
      <w:r w:rsidR="00F06CE8">
        <w:rPr>
          <w:rFonts w:ascii="Times New Roman" w:hAnsi="Times New Roman" w:cs="Times New Roman"/>
          <w:lang w:val="sr-Cyrl-RS"/>
        </w:rPr>
        <w:t xml:space="preserve">(425), </w:t>
      </w:r>
      <w:r w:rsidR="00D1432E">
        <w:rPr>
          <w:rFonts w:ascii="Times New Roman" w:hAnsi="Times New Roman" w:cs="Times New Roman"/>
          <w:lang w:val="sr-Cyrl-RS"/>
        </w:rPr>
        <w:t xml:space="preserve">отплату камате (441), </w:t>
      </w:r>
      <w:r w:rsidR="00F06CE8">
        <w:rPr>
          <w:rFonts w:ascii="Times New Roman" w:hAnsi="Times New Roman" w:cs="Times New Roman"/>
          <w:lang w:val="sr-Cyrl-RS"/>
        </w:rPr>
        <w:t>пр</w:t>
      </w:r>
      <w:r w:rsidR="00A010D0">
        <w:rPr>
          <w:rFonts w:ascii="Times New Roman" w:hAnsi="Times New Roman" w:cs="Times New Roman"/>
          <w:lang w:val="sr-Cyrl-RS"/>
        </w:rPr>
        <w:t>атеће трошкове задуживања (444)</w:t>
      </w:r>
      <w:r w:rsidR="00CD2AEA">
        <w:rPr>
          <w:rFonts w:ascii="Times New Roman" w:hAnsi="Times New Roman" w:cs="Times New Roman"/>
          <w:lang w:val="sr-Cyrl-RS"/>
        </w:rPr>
        <w:t xml:space="preserve">, </w:t>
      </w:r>
      <w:r w:rsidR="00D1432E">
        <w:rPr>
          <w:rFonts w:ascii="Times New Roman" w:hAnsi="Times New Roman" w:cs="Times New Roman"/>
          <w:lang w:val="sr-Cyrl-RS"/>
        </w:rPr>
        <w:t xml:space="preserve">трансфере основним и средњим школама (463), </w:t>
      </w:r>
      <w:r w:rsidR="00F06CE8">
        <w:rPr>
          <w:rFonts w:ascii="Times New Roman" w:hAnsi="Times New Roman" w:cs="Times New Roman"/>
          <w:lang w:val="sr-Cyrl-RS"/>
        </w:rPr>
        <w:t xml:space="preserve">накнаде за социјалну заштиту из буџета (472), </w:t>
      </w:r>
      <w:r w:rsidR="00CD2AEA">
        <w:rPr>
          <w:rFonts w:ascii="Times New Roman" w:hAnsi="Times New Roman" w:cs="Times New Roman"/>
          <w:lang w:val="sr-Cyrl-RS"/>
        </w:rPr>
        <w:t xml:space="preserve">дотације невладиним организацијама </w:t>
      </w:r>
      <w:r w:rsidR="00F06CE8">
        <w:rPr>
          <w:rFonts w:ascii="Times New Roman" w:hAnsi="Times New Roman" w:cs="Times New Roman"/>
          <w:lang w:val="sr-Cyrl-RS"/>
        </w:rPr>
        <w:t xml:space="preserve">дотације спортским организацијама </w:t>
      </w:r>
      <w:r w:rsidR="00CD2AEA">
        <w:rPr>
          <w:rFonts w:ascii="Times New Roman" w:hAnsi="Times New Roman" w:cs="Times New Roman"/>
          <w:lang w:val="sr-Cyrl-RS"/>
        </w:rPr>
        <w:t xml:space="preserve">(481), </w:t>
      </w:r>
      <w:r w:rsidR="00F06CE8">
        <w:rPr>
          <w:rFonts w:ascii="Times New Roman" w:hAnsi="Times New Roman" w:cs="Times New Roman"/>
          <w:lang w:val="sr-Cyrl-RS"/>
        </w:rPr>
        <w:t>зграде и грађевинске објекте за потребе комуналне делатности</w:t>
      </w:r>
      <w:r w:rsidR="00A010D0">
        <w:rPr>
          <w:rFonts w:ascii="Times New Roman" w:hAnsi="Times New Roman" w:cs="Times New Roman"/>
          <w:lang w:val="sr-Cyrl-RS"/>
        </w:rPr>
        <w:t>, спорта и саобраћаја</w:t>
      </w:r>
      <w:r w:rsidR="00F06CE8">
        <w:rPr>
          <w:rFonts w:ascii="Times New Roman" w:hAnsi="Times New Roman" w:cs="Times New Roman"/>
          <w:lang w:val="sr-Cyrl-RS"/>
        </w:rPr>
        <w:t xml:space="preserve"> (511)</w:t>
      </w:r>
      <w:r w:rsidR="00A010D0">
        <w:rPr>
          <w:rFonts w:ascii="Times New Roman" w:hAnsi="Times New Roman" w:cs="Times New Roman"/>
          <w:lang w:val="sr-Cyrl-RS"/>
        </w:rPr>
        <w:t xml:space="preserve"> и</w:t>
      </w:r>
      <w:r w:rsidR="00F06CE8">
        <w:rPr>
          <w:rFonts w:ascii="Times New Roman" w:hAnsi="Times New Roman" w:cs="Times New Roman"/>
          <w:lang w:val="sr-Cyrl-RS"/>
        </w:rPr>
        <w:t xml:space="preserve"> отплату главнице домаћим кредиторима (611)</w:t>
      </w:r>
      <w:r w:rsidR="00D1432E">
        <w:rPr>
          <w:rFonts w:ascii="Times New Roman" w:hAnsi="Times New Roman" w:cs="Times New Roman"/>
          <w:lang w:val="sr-Cyrl-RS"/>
        </w:rPr>
        <w:t>.</w:t>
      </w:r>
    </w:p>
    <w:p w:rsidR="00A010D0" w:rsidRDefault="00A010D0" w:rsidP="002F1FD0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2F1FD0" w:rsidRDefault="002F1FD0" w:rsidP="002F1FD0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Код раздела 4 – Општинска управа, Глава 02 – Фонд за развој пољопривреде, Програм </w:t>
      </w:r>
      <w:r w:rsidR="00A010D0">
        <w:rPr>
          <w:rFonts w:ascii="Times New Roman" w:hAnsi="Times New Roman" w:cs="Times New Roman"/>
          <w:lang w:val="sr-Cyrl-RS"/>
        </w:rPr>
        <w:t>0</w:t>
      </w:r>
      <w:r>
        <w:rPr>
          <w:rFonts w:ascii="Times New Roman" w:hAnsi="Times New Roman" w:cs="Times New Roman"/>
          <w:lang w:val="sr-Cyrl-RS"/>
        </w:rPr>
        <w:t>5-0101 није било измена.</w:t>
      </w:r>
    </w:p>
    <w:p w:rsidR="002F1FD0" w:rsidRDefault="002F1FD0" w:rsidP="00F06CE8">
      <w:pPr>
        <w:pStyle w:val="NoSpacing"/>
        <w:ind w:firstLine="709"/>
        <w:jc w:val="both"/>
        <w:rPr>
          <w:rFonts w:ascii="Times New Roman" w:hAnsi="Times New Roman" w:cs="Times New Roman"/>
          <w:lang w:val="sr-Cyrl-RS"/>
        </w:rPr>
      </w:pPr>
    </w:p>
    <w:p w:rsidR="00F06CE8" w:rsidRDefault="002F1FD0" w:rsidP="002F1FD0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Код раздела 4 – Општинска управа, Глава 03 – Фонд за заштиту животне средине, Програм </w:t>
      </w:r>
      <w:r w:rsidR="00D1432E">
        <w:rPr>
          <w:rFonts w:ascii="Times New Roman" w:hAnsi="Times New Roman" w:cs="Times New Roman"/>
          <w:lang w:val="sr-Cyrl-RS"/>
        </w:rPr>
        <w:t>0</w:t>
      </w:r>
      <w:r>
        <w:rPr>
          <w:rFonts w:ascii="Times New Roman" w:hAnsi="Times New Roman" w:cs="Times New Roman"/>
          <w:lang w:val="sr-Cyrl-RS"/>
        </w:rPr>
        <w:t xml:space="preserve">6-0401 </w:t>
      </w:r>
      <w:r w:rsidR="00D1432E">
        <w:rPr>
          <w:rFonts w:ascii="Times New Roman" w:hAnsi="Times New Roman" w:cs="Times New Roman"/>
          <w:lang w:val="sr-Cyrl-RS"/>
        </w:rPr>
        <w:t>није било измена.</w:t>
      </w:r>
    </w:p>
    <w:p w:rsidR="00AB38F8" w:rsidRDefault="00AB38F8" w:rsidP="00AB38F8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2F1FD0" w:rsidRDefault="00C53DDE" w:rsidP="002F1FD0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Код раздела 4 – Општинска управа, Глава 04 – Предш</w:t>
      </w:r>
      <w:r w:rsidR="002F1FD0">
        <w:rPr>
          <w:rFonts w:ascii="Times New Roman" w:hAnsi="Times New Roman" w:cs="Times New Roman"/>
          <w:lang w:val="sr-Cyrl-RS"/>
        </w:rPr>
        <w:t xml:space="preserve">колско васпитање, Програм </w:t>
      </w:r>
      <w:r w:rsidR="00D1432E">
        <w:rPr>
          <w:rFonts w:ascii="Times New Roman" w:hAnsi="Times New Roman" w:cs="Times New Roman"/>
          <w:lang w:val="sr-Cyrl-RS"/>
        </w:rPr>
        <w:t>0</w:t>
      </w:r>
      <w:r w:rsidR="002F1FD0">
        <w:rPr>
          <w:rFonts w:ascii="Times New Roman" w:hAnsi="Times New Roman" w:cs="Times New Roman"/>
          <w:lang w:val="sr-Cyrl-RS"/>
        </w:rPr>
        <w:t xml:space="preserve">8-2001 </w:t>
      </w:r>
      <w:r w:rsidR="00D1432E">
        <w:rPr>
          <w:rFonts w:ascii="Times New Roman" w:hAnsi="Times New Roman" w:cs="Times New Roman"/>
          <w:lang w:val="sr-Cyrl-RS"/>
        </w:rPr>
        <w:t>повећани</w:t>
      </w:r>
      <w:r w:rsidR="002F1FD0">
        <w:rPr>
          <w:rFonts w:ascii="Times New Roman" w:hAnsi="Times New Roman" w:cs="Times New Roman"/>
          <w:lang w:val="sr-Cyrl-RS"/>
        </w:rPr>
        <w:t xml:space="preserve"> су трошкови за </w:t>
      </w:r>
      <w:r w:rsidR="00D1432E">
        <w:rPr>
          <w:rFonts w:ascii="Times New Roman" w:hAnsi="Times New Roman" w:cs="Times New Roman"/>
          <w:lang w:val="sr-Cyrl-RS"/>
        </w:rPr>
        <w:t xml:space="preserve">235.000 динара и то за услуге по уговору (423), </w:t>
      </w:r>
      <w:r w:rsidR="002F1FD0">
        <w:rPr>
          <w:rFonts w:ascii="Times New Roman" w:hAnsi="Times New Roman" w:cs="Times New Roman"/>
          <w:lang w:val="sr-Cyrl-RS"/>
        </w:rPr>
        <w:t xml:space="preserve"> </w:t>
      </w:r>
      <w:r w:rsidR="00391343">
        <w:rPr>
          <w:rFonts w:ascii="Times New Roman" w:hAnsi="Times New Roman" w:cs="Times New Roman"/>
          <w:lang w:val="sr-Cyrl-RS"/>
        </w:rPr>
        <w:t>специјализоване услуге (424), т</w:t>
      </w:r>
      <w:r w:rsidR="00D1432E">
        <w:rPr>
          <w:rFonts w:ascii="Times New Roman" w:hAnsi="Times New Roman" w:cs="Times New Roman"/>
          <w:lang w:val="sr-Cyrl-RS"/>
        </w:rPr>
        <w:t>екуће поправке и одржавање (425) и материјал (426)</w:t>
      </w:r>
      <w:r w:rsidR="002F1FD0">
        <w:rPr>
          <w:rFonts w:ascii="Times New Roman" w:hAnsi="Times New Roman" w:cs="Times New Roman"/>
          <w:lang w:val="sr-Cyrl-RS"/>
        </w:rPr>
        <w:t>.</w:t>
      </w:r>
    </w:p>
    <w:p w:rsidR="004D2336" w:rsidRDefault="004D2336" w:rsidP="004D2336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726B3B" w:rsidRDefault="004D2336" w:rsidP="002F1FD0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Код раздела 4 – Општинска управа, Глава 0</w:t>
      </w:r>
      <w:r w:rsidR="00D1432E">
        <w:rPr>
          <w:rFonts w:ascii="Times New Roman" w:hAnsi="Times New Roman" w:cs="Times New Roman"/>
          <w:lang w:val="sr-Cyrl-RS"/>
        </w:rPr>
        <w:t>5</w:t>
      </w:r>
      <w:r>
        <w:rPr>
          <w:rFonts w:ascii="Times New Roman" w:hAnsi="Times New Roman" w:cs="Times New Roman"/>
          <w:lang w:val="sr-Cyrl-RS"/>
        </w:rPr>
        <w:t xml:space="preserve"> – Развој к</w:t>
      </w:r>
      <w:r w:rsidR="002F1FD0">
        <w:rPr>
          <w:rFonts w:ascii="Times New Roman" w:hAnsi="Times New Roman" w:cs="Times New Roman"/>
          <w:lang w:val="sr-Cyrl-RS"/>
        </w:rPr>
        <w:t xml:space="preserve">ултуре, Програм 13-1201 </w:t>
      </w:r>
      <w:r>
        <w:rPr>
          <w:rFonts w:ascii="Times New Roman" w:hAnsi="Times New Roman" w:cs="Times New Roman"/>
          <w:lang w:val="sr-Cyrl-RS"/>
        </w:rPr>
        <w:t>смањени су трош</w:t>
      </w:r>
      <w:r w:rsidR="002F1FD0">
        <w:rPr>
          <w:rFonts w:ascii="Times New Roman" w:hAnsi="Times New Roman" w:cs="Times New Roman"/>
          <w:lang w:val="sr-Cyrl-RS"/>
        </w:rPr>
        <w:t>кови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2F1FD0">
        <w:rPr>
          <w:rFonts w:ascii="Times New Roman" w:hAnsi="Times New Roman" w:cs="Times New Roman"/>
          <w:lang w:val="sr-Cyrl-RS"/>
        </w:rPr>
        <w:t xml:space="preserve">за </w:t>
      </w:r>
      <w:r w:rsidR="00D1432E">
        <w:rPr>
          <w:rFonts w:ascii="Times New Roman" w:hAnsi="Times New Roman" w:cs="Times New Roman"/>
          <w:lang w:val="sr-Cyrl-RS"/>
        </w:rPr>
        <w:t>178.060</w:t>
      </w:r>
      <w:r w:rsidR="002F1FD0">
        <w:rPr>
          <w:rFonts w:ascii="Times New Roman" w:hAnsi="Times New Roman" w:cs="Times New Roman"/>
          <w:lang w:val="sr-Cyrl-RS"/>
        </w:rPr>
        <w:t xml:space="preserve"> динара.</w:t>
      </w:r>
    </w:p>
    <w:p w:rsidR="00726B3B" w:rsidRDefault="00726B3B" w:rsidP="002F1FD0">
      <w:pPr>
        <w:pStyle w:val="NoSpacing"/>
        <w:jc w:val="both"/>
        <w:rPr>
          <w:rFonts w:ascii="Times New Roman" w:hAnsi="Times New Roman" w:cs="Times New Roman"/>
          <w:lang w:val="sr-Latn-RS"/>
        </w:rPr>
      </w:pPr>
    </w:p>
    <w:p w:rsidR="009A53DF" w:rsidRDefault="000A5CF8" w:rsidP="00DF118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Код раздела 4 – Општинска управа, Глава </w:t>
      </w:r>
      <w:r w:rsidR="00D1432E">
        <w:rPr>
          <w:rFonts w:ascii="Times New Roman" w:hAnsi="Times New Roman" w:cs="Times New Roman"/>
          <w:lang w:val="sr-Cyrl-RS"/>
        </w:rPr>
        <w:t>06</w:t>
      </w:r>
      <w:r>
        <w:rPr>
          <w:rFonts w:ascii="Times New Roman" w:hAnsi="Times New Roman" w:cs="Times New Roman"/>
          <w:lang w:val="sr-Cyrl-RS"/>
        </w:rPr>
        <w:t xml:space="preserve"> – Р</w:t>
      </w:r>
      <w:r w:rsidR="00DF1188">
        <w:rPr>
          <w:rFonts w:ascii="Times New Roman" w:hAnsi="Times New Roman" w:cs="Times New Roman"/>
          <w:lang w:val="sr-Cyrl-RS"/>
        </w:rPr>
        <w:t xml:space="preserve">азвој туризма, Програм </w:t>
      </w:r>
      <w:r w:rsidR="00D1432E">
        <w:rPr>
          <w:rFonts w:ascii="Times New Roman" w:hAnsi="Times New Roman" w:cs="Times New Roman"/>
          <w:lang w:val="sr-Cyrl-RS"/>
        </w:rPr>
        <w:t>0</w:t>
      </w:r>
      <w:r w:rsidR="00DF1188">
        <w:rPr>
          <w:rFonts w:ascii="Times New Roman" w:hAnsi="Times New Roman" w:cs="Times New Roman"/>
          <w:lang w:val="sr-Cyrl-RS"/>
        </w:rPr>
        <w:t xml:space="preserve">4-1502 </w:t>
      </w:r>
      <w:r>
        <w:rPr>
          <w:rFonts w:ascii="Times New Roman" w:hAnsi="Times New Roman" w:cs="Times New Roman"/>
          <w:lang w:val="sr-Cyrl-RS"/>
        </w:rPr>
        <w:t xml:space="preserve">повећани су трошкови у укупном износу од </w:t>
      </w:r>
      <w:r w:rsidR="00D1432E">
        <w:rPr>
          <w:rFonts w:ascii="Times New Roman" w:hAnsi="Times New Roman" w:cs="Times New Roman"/>
          <w:lang w:val="sr-Cyrl-RS"/>
        </w:rPr>
        <w:t>2.309.000</w:t>
      </w:r>
      <w:r>
        <w:rPr>
          <w:rFonts w:ascii="Times New Roman" w:hAnsi="Times New Roman" w:cs="Times New Roman"/>
          <w:lang w:val="sr-Cyrl-RS"/>
        </w:rPr>
        <w:t xml:space="preserve"> динара и то</w:t>
      </w:r>
      <w:r w:rsidR="00DF1188">
        <w:rPr>
          <w:rFonts w:ascii="Times New Roman" w:hAnsi="Times New Roman" w:cs="Times New Roman"/>
          <w:lang w:val="sr-Cyrl-RS"/>
        </w:rPr>
        <w:t xml:space="preserve"> због повећања расхода </w:t>
      </w:r>
      <w:r w:rsidR="00D1432E">
        <w:rPr>
          <w:rFonts w:ascii="Times New Roman" w:hAnsi="Times New Roman" w:cs="Times New Roman"/>
          <w:lang w:val="sr-Cyrl-RS"/>
        </w:rPr>
        <w:t xml:space="preserve">за стручни надзор из извора 01, због повећања расхода </w:t>
      </w:r>
      <w:r w:rsidR="00DF1188">
        <w:rPr>
          <w:rFonts w:ascii="Times New Roman" w:hAnsi="Times New Roman" w:cs="Times New Roman"/>
          <w:lang w:val="sr-Cyrl-RS"/>
        </w:rPr>
        <w:t>из сопствених извора финансирања и расхода финансираних од стране других нивоа власти</w:t>
      </w:r>
      <w:r w:rsidR="00D1432E">
        <w:rPr>
          <w:rFonts w:ascii="Times New Roman" w:hAnsi="Times New Roman" w:cs="Times New Roman"/>
          <w:lang w:val="sr-Cyrl-RS"/>
        </w:rPr>
        <w:t xml:space="preserve"> (511)</w:t>
      </w:r>
      <w:r w:rsidR="00DF1188">
        <w:rPr>
          <w:rFonts w:ascii="Times New Roman" w:hAnsi="Times New Roman" w:cs="Times New Roman"/>
          <w:lang w:val="sr-Cyrl-RS"/>
        </w:rPr>
        <w:t>.</w:t>
      </w:r>
    </w:p>
    <w:p w:rsidR="009A53DF" w:rsidRDefault="009A53DF" w:rsidP="009A53DF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9A53DF" w:rsidRDefault="009A53DF" w:rsidP="00DF118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Код раздела 4 – Општинска управа, Глава </w:t>
      </w:r>
      <w:r w:rsidR="00D1432E">
        <w:rPr>
          <w:rFonts w:ascii="Times New Roman" w:hAnsi="Times New Roman" w:cs="Times New Roman"/>
          <w:lang w:val="sr-Cyrl-RS"/>
        </w:rPr>
        <w:t>07</w:t>
      </w:r>
      <w:r w:rsidR="00DF1188">
        <w:rPr>
          <w:rFonts w:ascii="Times New Roman" w:hAnsi="Times New Roman" w:cs="Times New Roman"/>
          <w:lang w:val="sr-Cyrl-RS"/>
        </w:rPr>
        <w:t xml:space="preserve"> – </w:t>
      </w:r>
      <w:r w:rsidR="00D1432E">
        <w:rPr>
          <w:rFonts w:ascii="Times New Roman" w:hAnsi="Times New Roman" w:cs="Times New Roman"/>
          <w:lang w:val="sr-Cyrl-RS"/>
        </w:rPr>
        <w:t>Месне заједнице</w:t>
      </w:r>
      <w:r w:rsidR="00DF1188">
        <w:rPr>
          <w:rFonts w:ascii="Times New Roman" w:hAnsi="Times New Roman" w:cs="Times New Roman"/>
          <w:lang w:val="sr-Cyrl-RS"/>
        </w:rPr>
        <w:t xml:space="preserve">, Програм </w:t>
      </w:r>
      <w:r w:rsidR="00D1432E">
        <w:rPr>
          <w:rFonts w:ascii="Times New Roman" w:hAnsi="Times New Roman" w:cs="Times New Roman"/>
          <w:lang w:val="sr-Cyrl-RS"/>
        </w:rPr>
        <w:t>15-0602</w:t>
      </w:r>
      <w:r w:rsidR="00DF1188">
        <w:rPr>
          <w:rFonts w:ascii="Times New Roman" w:hAnsi="Times New Roman" w:cs="Times New Roman"/>
          <w:lang w:val="sr-Cyrl-RS"/>
        </w:rPr>
        <w:t xml:space="preserve"> </w:t>
      </w:r>
      <w:r w:rsidR="00D1432E">
        <w:rPr>
          <w:rFonts w:ascii="Times New Roman" w:hAnsi="Times New Roman" w:cs="Times New Roman"/>
          <w:lang w:val="sr-Cyrl-RS"/>
        </w:rPr>
        <w:t>повећани</w:t>
      </w:r>
      <w:r w:rsidR="00DF1188">
        <w:rPr>
          <w:rFonts w:ascii="Times New Roman" w:hAnsi="Times New Roman" w:cs="Times New Roman"/>
          <w:lang w:val="sr-Cyrl-RS"/>
        </w:rPr>
        <w:t xml:space="preserve"> су трошкови у износу од </w:t>
      </w:r>
      <w:r w:rsidR="00D1432E">
        <w:rPr>
          <w:rFonts w:ascii="Times New Roman" w:hAnsi="Times New Roman" w:cs="Times New Roman"/>
          <w:lang w:val="sr-Cyrl-RS"/>
        </w:rPr>
        <w:t>1.350.900</w:t>
      </w:r>
      <w:r w:rsidR="00DF1188">
        <w:rPr>
          <w:rFonts w:ascii="Times New Roman" w:hAnsi="Times New Roman" w:cs="Times New Roman"/>
          <w:lang w:val="sr-Cyrl-RS"/>
        </w:rPr>
        <w:t xml:space="preserve"> динара</w:t>
      </w:r>
      <w:r w:rsidR="00D1432E">
        <w:rPr>
          <w:rFonts w:ascii="Times New Roman" w:hAnsi="Times New Roman" w:cs="Times New Roman"/>
          <w:lang w:val="sr-Cyrl-RS"/>
        </w:rPr>
        <w:t xml:space="preserve"> и то за текуће поправке и одржавање (425)</w:t>
      </w:r>
      <w:r w:rsidR="001E5809">
        <w:rPr>
          <w:rFonts w:ascii="Times New Roman" w:hAnsi="Times New Roman" w:cs="Times New Roman"/>
          <w:lang w:val="sr-Cyrl-RS"/>
        </w:rPr>
        <w:t xml:space="preserve"> и материјал (426)</w:t>
      </w:r>
      <w:r w:rsidR="00DF1188">
        <w:rPr>
          <w:rFonts w:ascii="Times New Roman" w:hAnsi="Times New Roman" w:cs="Times New Roman"/>
          <w:lang w:val="sr-Cyrl-RS"/>
        </w:rPr>
        <w:t>.</w:t>
      </w:r>
    </w:p>
    <w:p w:rsidR="00DF1188" w:rsidRDefault="00DF1188" w:rsidP="00DF118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FA517F" w:rsidRDefault="00FA517F" w:rsidP="00DF118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Код раздела 5 – Јавно пра</w:t>
      </w:r>
      <w:r w:rsidR="00DF1188">
        <w:rPr>
          <w:rFonts w:ascii="Times New Roman" w:hAnsi="Times New Roman" w:cs="Times New Roman"/>
          <w:lang w:val="sr-Cyrl-RS"/>
        </w:rPr>
        <w:t xml:space="preserve">вобранилаштво, Програм 15-0602 смањени су трошкови за </w:t>
      </w:r>
      <w:r w:rsidR="001E5809">
        <w:rPr>
          <w:rFonts w:ascii="Times New Roman" w:hAnsi="Times New Roman" w:cs="Times New Roman"/>
          <w:lang w:val="sr-Cyrl-RS"/>
        </w:rPr>
        <w:t>127.123</w:t>
      </w:r>
      <w:r w:rsidR="00DF1188">
        <w:rPr>
          <w:rFonts w:ascii="Times New Roman" w:hAnsi="Times New Roman" w:cs="Times New Roman"/>
          <w:lang w:val="sr-Cyrl-RS"/>
        </w:rPr>
        <w:t xml:space="preserve"> динара.</w:t>
      </w:r>
    </w:p>
    <w:p w:rsidR="00FA517F" w:rsidRDefault="00FA517F" w:rsidP="00FA517F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:rsidR="00FA517F" w:rsidRDefault="00FA517F" w:rsidP="00FA517F">
      <w:pPr>
        <w:pStyle w:val="NoSpacing"/>
        <w:ind w:left="720"/>
        <w:jc w:val="both"/>
        <w:rPr>
          <w:rFonts w:ascii="Times New Roman" w:hAnsi="Times New Roman" w:cs="Times New Roman"/>
          <w:b/>
          <w:lang w:val="sr-Cyrl-RS"/>
        </w:rPr>
      </w:pPr>
      <w:r w:rsidRPr="00FA517F">
        <w:rPr>
          <w:rFonts w:ascii="Times New Roman" w:hAnsi="Times New Roman" w:cs="Times New Roman"/>
          <w:b/>
          <w:lang w:val="sr-Cyrl-RS"/>
        </w:rPr>
        <w:t>Разлози за раније ступање на снагу Одлуке</w:t>
      </w:r>
    </w:p>
    <w:p w:rsidR="00FA517F" w:rsidRDefault="00FA517F" w:rsidP="00FA517F">
      <w:pPr>
        <w:pStyle w:val="NoSpacing"/>
        <w:ind w:left="720"/>
        <w:jc w:val="both"/>
        <w:rPr>
          <w:rFonts w:ascii="Times New Roman" w:hAnsi="Times New Roman" w:cs="Times New Roman"/>
          <w:b/>
          <w:lang w:val="sr-Cyrl-RS"/>
        </w:rPr>
      </w:pPr>
    </w:p>
    <w:p w:rsidR="00FA517F" w:rsidRDefault="00FA517F" w:rsidP="00FA517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Због хитности расписивања јавних набавки, предлаже се ступање на снагу ове одлуке наредног дана од дана објављивања у Службеном листу општине Бољевац, сагласно члану 196. Устава Републике Србије („Службени гласник РС“, број 98/06), којим је прописано да општи акти могу ступити на снагу и пре осмог дана од дана њиховог објављивања, ако за то постоје нарочито оправдани разлози утврђени приликом њиховог доношења.</w:t>
      </w:r>
      <w:bookmarkStart w:id="0" w:name="_GoBack"/>
      <w:bookmarkEnd w:id="0"/>
    </w:p>
    <w:p w:rsidR="00FA517F" w:rsidRDefault="00FA517F" w:rsidP="00FA517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FA517F" w:rsidRDefault="00FA517F" w:rsidP="00FA517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FA517F" w:rsidRDefault="00FA517F" w:rsidP="00FA517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FA517F" w:rsidRDefault="00FA517F" w:rsidP="00FA517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ОДЕЉЕЊЕ ЗА БУЏЕТ И</w:t>
      </w:r>
    </w:p>
    <w:p w:rsidR="00FA517F" w:rsidRDefault="00FA517F" w:rsidP="00FA517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ПОРЕСКУ АДМИНИСТРАЦИЈУ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>ПРЕДСЕДНИК ОПШТИНЕ</w:t>
      </w:r>
    </w:p>
    <w:p w:rsidR="00FA517F" w:rsidRPr="00FA517F" w:rsidRDefault="00601E13" w:rsidP="00FA517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Миодраг Трифуновић, дипл. ецц.</w:t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 xml:space="preserve">    др Небојша Марјановић</w:t>
      </w:r>
    </w:p>
    <w:sectPr w:rsidR="00FA517F" w:rsidRPr="00FA517F" w:rsidSect="004D3012">
      <w:footerReference w:type="default" r:id="rId8"/>
      <w:pgSz w:w="12240" w:h="15840"/>
      <w:pgMar w:top="568" w:right="758" w:bottom="568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2E" w:rsidRDefault="00D1432E" w:rsidP="00D84FA4">
      <w:pPr>
        <w:spacing w:after="0" w:line="240" w:lineRule="auto"/>
      </w:pPr>
      <w:r>
        <w:separator/>
      </w:r>
    </w:p>
  </w:endnote>
  <w:endnote w:type="continuationSeparator" w:id="0">
    <w:p w:rsidR="00D1432E" w:rsidRDefault="00D1432E" w:rsidP="00D84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2560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432E" w:rsidRDefault="00D143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34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1432E" w:rsidRDefault="00D143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2E" w:rsidRDefault="00D1432E" w:rsidP="00D84FA4">
      <w:pPr>
        <w:spacing w:after="0" w:line="240" w:lineRule="auto"/>
      </w:pPr>
      <w:r>
        <w:separator/>
      </w:r>
    </w:p>
  </w:footnote>
  <w:footnote w:type="continuationSeparator" w:id="0">
    <w:p w:rsidR="00D1432E" w:rsidRDefault="00D1432E" w:rsidP="00D84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96901"/>
    <w:multiLevelType w:val="hybridMultilevel"/>
    <w:tmpl w:val="B180F796"/>
    <w:lvl w:ilvl="0" w:tplc="C408F76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FC76963"/>
    <w:multiLevelType w:val="hybridMultilevel"/>
    <w:tmpl w:val="9490CD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A4"/>
    <w:rsid w:val="000A5CF8"/>
    <w:rsid w:val="000D3E79"/>
    <w:rsid w:val="00113AAB"/>
    <w:rsid w:val="0017128D"/>
    <w:rsid w:val="001D1161"/>
    <w:rsid w:val="001E5809"/>
    <w:rsid w:val="002050E1"/>
    <w:rsid w:val="002321EC"/>
    <w:rsid w:val="0024612F"/>
    <w:rsid w:val="00264CB5"/>
    <w:rsid w:val="002818BF"/>
    <w:rsid w:val="002F1FD0"/>
    <w:rsid w:val="002F4104"/>
    <w:rsid w:val="00311166"/>
    <w:rsid w:val="00314A97"/>
    <w:rsid w:val="00337742"/>
    <w:rsid w:val="00341889"/>
    <w:rsid w:val="00391343"/>
    <w:rsid w:val="003B2816"/>
    <w:rsid w:val="003D46A3"/>
    <w:rsid w:val="003F21AE"/>
    <w:rsid w:val="004703EE"/>
    <w:rsid w:val="00484CA7"/>
    <w:rsid w:val="004B0724"/>
    <w:rsid w:val="004D2336"/>
    <w:rsid w:val="004D3012"/>
    <w:rsid w:val="004D5E2F"/>
    <w:rsid w:val="004E7605"/>
    <w:rsid w:val="005046FC"/>
    <w:rsid w:val="00562D41"/>
    <w:rsid w:val="00582E62"/>
    <w:rsid w:val="00595A99"/>
    <w:rsid w:val="00601E13"/>
    <w:rsid w:val="00643016"/>
    <w:rsid w:val="006508F1"/>
    <w:rsid w:val="0067141E"/>
    <w:rsid w:val="006A43B5"/>
    <w:rsid w:val="006F1DA0"/>
    <w:rsid w:val="0070629B"/>
    <w:rsid w:val="007118E9"/>
    <w:rsid w:val="00726B3B"/>
    <w:rsid w:val="00792A78"/>
    <w:rsid w:val="007B7A8E"/>
    <w:rsid w:val="008045F9"/>
    <w:rsid w:val="00804D78"/>
    <w:rsid w:val="00830BD3"/>
    <w:rsid w:val="00891194"/>
    <w:rsid w:val="008A0F63"/>
    <w:rsid w:val="009A53DF"/>
    <w:rsid w:val="009E41AF"/>
    <w:rsid w:val="00A010D0"/>
    <w:rsid w:val="00AB38F8"/>
    <w:rsid w:val="00AC66AC"/>
    <w:rsid w:val="00AD77BB"/>
    <w:rsid w:val="00B10FA5"/>
    <w:rsid w:val="00B45F5C"/>
    <w:rsid w:val="00B501EA"/>
    <w:rsid w:val="00B61E98"/>
    <w:rsid w:val="00BA492B"/>
    <w:rsid w:val="00BC4CD1"/>
    <w:rsid w:val="00C53DDE"/>
    <w:rsid w:val="00CC3A53"/>
    <w:rsid w:val="00CC5FB7"/>
    <w:rsid w:val="00CD2AEA"/>
    <w:rsid w:val="00CF6FFB"/>
    <w:rsid w:val="00D1432E"/>
    <w:rsid w:val="00D458C5"/>
    <w:rsid w:val="00D84FA4"/>
    <w:rsid w:val="00D94213"/>
    <w:rsid w:val="00DA4C53"/>
    <w:rsid w:val="00DF1188"/>
    <w:rsid w:val="00E10B44"/>
    <w:rsid w:val="00E245EC"/>
    <w:rsid w:val="00E27A63"/>
    <w:rsid w:val="00E65EB1"/>
    <w:rsid w:val="00E90053"/>
    <w:rsid w:val="00F06CE8"/>
    <w:rsid w:val="00F4083D"/>
    <w:rsid w:val="00FA517F"/>
    <w:rsid w:val="00FB5A37"/>
    <w:rsid w:val="00FC11EB"/>
    <w:rsid w:val="00FD1E7F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FA4"/>
  </w:style>
  <w:style w:type="paragraph" w:styleId="Footer">
    <w:name w:val="footer"/>
    <w:basedOn w:val="Normal"/>
    <w:link w:val="FooterChar"/>
    <w:uiPriority w:val="99"/>
    <w:unhideWhenUsed/>
    <w:rsid w:val="00D84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FA4"/>
  </w:style>
  <w:style w:type="paragraph" w:styleId="NoSpacing">
    <w:name w:val="No Spacing"/>
    <w:uiPriority w:val="1"/>
    <w:qFormat/>
    <w:rsid w:val="00D84F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FA4"/>
  </w:style>
  <w:style w:type="paragraph" w:styleId="Footer">
    <w:name w:val="footer"/>
    <w:basedOn w:val="Normal"/>
    <w:link w:val="FooterChar"/>
    <w:uiPriority w:val="99"/>
    <w:unhideWhenUsed/>
    <w:rsid w:val="00D84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FA4"/>
  </w:style>
  <w:style w:type="paragraph" w:styleId="NoSpacing">
    <w:name w:val="No Spacing"/>
    <w:uiPriority w:val="1"/>
    <w:qFormat/>
    <w:rsid w:val="00D8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5</Pages>
  <Words>2228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Davor</cp:lastModifiedBy>
  <cp:revision>21</cp:revision>
  <cp:lastPrinted>2016-11-07T08:52:00Z</cp:lastPrinted>
  <dcterms:created xsi:type="dcterms:W3CDTF">2016-08-14T13:34:00Z</dcterms:created>
  <dcterms:modified xsi:type="dcterms:W3CDTF">2017-05-22T08:58:00Z</dcterms:modified>
</cp:coreProperties>
</file>